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598" w:type="dxa"/>
        <w:tblLook w:val="01E0" w:firstRow="1" w:lastRow="1" w:firstColumn="1" w:lastColumn="1" w:noHBand="0" w:noVBand="0"/>
      </w:tblPr>
      <w:tblGrid>
        <w:gridCol w:w="5886"/>
        <w:gridCol w:w="3980"/>
        <w:gridCol w:w="4541"/>
        <w:gridCol w:w="4191"/>
      </w:tblGrid>
      <w:tr w:rsidR="00137C88" w:rsidTr="00137C88">
        <w:trPr>
          <w:trHeight w:val="2486"/>
        </w:trPr>
        <w:tc>
          <w:tcPr>
            <w:tcW w:w="5745" w:type="dxa"/>
          </w:tcPr>
          <w:tbl>
            <w:tblPr>
              <w:tblW w:w="5244" w:type="dxa"/>
              <w:tblInd w:w="426" w:type="dxa"/>
              <w:tblLook w:val="01E0" w:firstRow="1" w:lastRow="1" w:firstColumn="1" w:lastColumn="1" w:noHBand="0" w:noVBand="0"/>
            </w:tblPr>
            <w:tblGrid>
              <w:gridCol w:w="4252"/>
              <w:gridCol w:w="992"/>
            </w:tblGrid>
            <w:tr w:rsidR="00137C88" w:rsidTr="00304C34">
              <w:trPr>
                <w:trHeight w:val="2486"/>
              </w:trPr>
              <w:tc>
                <w:tcPr>
                  <w:tcW w:w="4252" w:type="dxa"/>
                </w:tcPr>
                <w:p w:rsidR="00137C88" w:rsidRPr="00304C34" w:rsidRDefault="00137C88" w:rsidP="00304C34">
                  <w:pPr>
                    <w:spacing w:line="276" w:lineRule="auto"/>
                    <w:rPr>
                      <w:lang w:eastAsia="en-US"/>
                    </w:rPr>
                  </w:pPr>
                  <w:r w:rsidRPr="00304C34">
                    <w:rPr>
                      <w:lang w:eastAsia="en-US"/>
                    </w:rPr>
                    <w:t>Согласовано:</w:t>
                  </w:r>
                </w:p>
                <w:p w:rsidR="00137C88" w:rsidRPr="00304C34" w:rsidRDefault="00BD4F78" w:rsidP="00304C34">
                  <w:pPr>
                    <w:spacing w:line="276" w:lineRule="auto"/>
                    <w:rPr>
                      <w:lang w:eastAsia="en-US"/>
                    </w:rPr>
                  </w:pPr>
                  <w:r w:rsidRPr="00304C34">
                    <w:rPr>
                      <w:lang w:eastAsia="en-US"/>
                    </w:rPr>
                    <w:t>Начальник казначейства</w:t>
                  </w:r>
                </w:p>
                <w:p w:rsidR="00137C88" w:rsidRPr="00BD4F78" w:rsidRDefault="00137C88" w:rsidP="00304C34">
                  <w:pPr>
                    <w:spacing w:line="276" w:lineRule="auto"/>
                    <w:rPr>
                      <w:i/>
                      <w:lang w:eastAsia="en-US"/>
                    </w:rPr>
                  </w:pPr>
                </w:p>
                <w:p w:rsidR="00137C88" w:rsidRDefault="00137C88" w:rsidP="00304C34">
                  <w:pPr>
                    <w:spacing w:line="276" w:lineRule="auto"/>
                    <w:rPr>
                      <w:i/>
                      <w:lang w:eastAsia="en-US"/>
                    </w:rPr>
                  </w:pPr>
                </w:p>
                <w:p w:rsidR="00137C88" w:rsidRPr="00137C88" w:rsidRDefault="00137C88" w:rsidP="00304C34">
                  <w:pPr>
                    <w:spacing w:line="276" w:lineRule="auto"/>
                    <w:rPr>
                      <w:i/>
                      <w:lang w:eastAsia="en-US"/>
                    </w:rPr>
                  </w:pPr>
                </w:p>
                <w:p w:rsidR="00137C88" w:rsidRDefault="00137C88" w:rsidP="00304C34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</w:t>
                  </w:r>
                  <w:r w:rsidR="00304C34" w:rsidRPr="0010596A">
                    <w:rPr>
                      <w:lang w:eastAsia="en-US"/>
                    </w:rPr>
                    <w:t>________</w:t>
                  </w:r>
                  <w:r>
                    <w:rPr>
                      <w:lang w:eastAsia="en-US"/>
                    </w:rPr>
                    <w:t>___</w:t>
                  </w:r>
                  <w:r w:rsidR="00BD4F78">
                    <w:rPr>
                      <w:lang w:eastAsia="en-US"/>
                    </w:rPr>
                    <w:t>_</w:t>
                  </w:r>
                  <w:r>
                    <w:rPr>
                      <w:lang w:eastAsia="en-US"/>
                    </w:rPr>
                    <w:t xml:space="preserve"> </w:t>
                  </w:r>
                  <w:r w:rsidR="00BD4F78">
                    <w:rPr>
                      <w:lang w:eastAsia="en-US"/>
                    </w:rPr>
                    <w:t>Н.В. Чередниченко</w:t>
                  </w:r>
                  <w:r>
                    <w:rPr>
                      <w:lang w:eastAsia="en-US"/>
                    </w:rPr>
                    <w:t xml:space="preserve"> «___»______________ 201</w:t>
                  </w:r>
                  <w:r w:rsidR="00BD4F78">
                    <w:rPr>
                      <w:lang w:eastAsia="en-US"/>
                    </w:rPr>
                    <w:t>7</w:t>
                  </w:r>
                  <w:r>
                    <w:rPr>
                      <w:lang w:eastAsia="en-US"/>
                    </w:rPr>
                    <w:t>г.</w:t>
                  </w:r>
                </w:p>
              </w:tc>
              <w:tc>
                <w:tcPr>
                  <w:tcW w:w="992" w:type="dxa"/>
                </w:tcPr>
                <w:p w:rsidR="00137C88" w:rsidRDefault="00137C88" w:rsidP="00304C34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</w:tbl>
          <w:p w:rsidR="00137C88" w:rsidRDefault="00137C8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02" w:type="dxa"/>
          </w:tcPr>
          <w:p w:rsidR="00137C88" w:rsidRDefault="00137C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Утверждаю:</w:t>
            </w:r>
          </w:p>
          <w:p w:rsidR="00137C88" w:rsidRDefault="00137C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генерального директора по экономике и финансам</w:t>
            </w:r>
          </w:p>
          <w:p w:rsidR="00137C88" w:rsidRDefault="00137C88">
            <w:pPr>
              <w:spacing w:line="276" w:lineRule="auto"/>
              <w:jc w:val="center"/>
              <w:rPr>
                <w:i/>
                <w:lang w:eastAsia="en-US"/>
              </w:rPr>
            </w:pPr>
          </w:p>
          <w:p w:rsidR="00137C88" w:rsidRDefault="00137C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_________________ </w:t>
            </w:r>
            <w:r>
              <w:rPr>
                <w:lang w:eastAsia="en-US"/>
              </w:rPr>
              <w:t xml:space="preserve">О.В. Забарова </w:t>
            </w:r>
          </w:p>
          <w:p w:rsidR="00137C88" w:rsidRDefault="00137C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«___»______________ 2017г.</w:t>
            </w:r>
          </w:p>
        </w:tc>
        <w:tc>
          <w:tcPr>
            <w:tcW w:w="4603" w:type="dxa"/>
          </w:tcPr>
          <w:p w:rsidR="00137C88" w:rsidRPr="00406561" w:rsidRDefault="00137C88" w:rsidP="00CA7BFF">
            <w:pPr>
              <w:tabs>
                <w:tab w:val="left" w:pos="0"/>
              </w:tabs>
              <w:ind w:firstLine="567"/>
              <w:jc w:val="center"/>
            </w:pPr>
          </w:p>
        </w:tc>
        <w:tc>
          <w:tcPr>
            <w:tcW w:w="4248" w:type="dxa"/>
          </w:tcPr>
          <w:p w:rsidR="00137C88" w:rsidRPr="00406561" w:rsidRDefault="00137C88" w:rsidP="005F19BF">
            <w:pPr>
              <w:tabs>
                <w:tab w:val="left" w:pos="0"/>
              </w:tabs>
              <w:ind w:firstLine="567"/>
              <w:jc w:val="center"/>
            </w:pPr>
          </w:p>
        </w:tc>
      </w:tr>
    </w:tbl>
    <w:p w:rsidR="00EF3887" w:rsidRDefault="00EF3887" w:rsidP="00F11350">
      <w:pPr>
        <w:tabs>
          <w:tab w:val="left" w:pos="0"/>
        </w:tabs>
        <w:spacing w:after="240"/>
        <w:ind w:firstLine="567"/>
        <w:jc w:val="center"/>
        <w:rPr>
          <w:b/>
          <w:bCs/>
        </w:rPr>
      </w:pPr>
      <w:r w:rsidRPr="00406561">
        <w:rPr>
          <w:b/>
          <w:bCs/>
        </w:rPr>
        <w:t>ТЕХНИЧЕСКОЕ ЗАДАНИЕ</w:t>
      </w:r>
    </w:p>
    <w:p w:rsidR="00BD4F78" w:rsidRDefault="00EF3887" w:rsidP="00F11350">
      <w:pPr>
        <w:tabs>
          <w:tab w:val="left" w:pos="0"/>
        </w:tabs>
        <w:ind w:firstLine="567"/>
        <w:jc w:val="center"/>
      </w:pPr>
      <w:r w:rsidRPr="00134849">
        <w:t xml:space="preserve">на </w:t>
      </w:r>
      <w:r>
        <w:t>оказание</w:t>
      </w:r>
      <w:r w:rsidR="00C71326">
        <w:t xml:space="preserve"> ф</w:t>
      </w:r>
      <w:r w:rsidR="00AA179A" w:rsidRPr="00AA179A">
        <w:t>инансовы</w:t>
      </w:r>
      <w:r w:rsidR="00C71326">
        <w:t xml:space="preserve">х </w:t>
      </w:r>
      <w:r w:rsidR="00AA179A" w:rsidRPr="00AA179A">
        <w:t xml:space="preserve">услуг </w:t>
      </w:r>
      <w:r w:rsidR="0040042C">
        <w:t>по</w:t>
      </w:r>
      <w:r w:rsidR="00AA179A" w:rsidRPr="00AA179A">
        <w:t xml:space="preserve"> </w:t>
      </w:r>
      <w:r w:rsidR="00F6092E">
        <w:t>предоставлени</w:t>
      </w:r>
      <w:r w:rsidR="00277B65">
        <w:t>ю</w:t>
      </w:r>
      <w:r w:rsidR="00F6092E">
        <w:t xml:space="preserve"> </w:t>
      </w:r>
      <w:r w:rsidR="00277B65">
        <w:t xml:space="preserve">кредитной линии </w:t>
      </w:r>
      <w:r w:rsidR="008F08C5">
        <w:t xml:space="preserve">с траншами до </w:t>
      </w:r>
      <w:r w:rsidR="004D007A">
        <w:t>365</w:t>
      </w:r>
      <w:r w:rsidR="008F08C5">
        <w:t xml:space="preserve"> дней</w:t>
      </w:r>
      <w:r w:rsidR="004D66F9">
        <w:t xml:space="preserve"> </w:t>
      </w:r>
      <w:r w:rsidR="00A242EE">
        <w:t>с лимитом задолженности не более 400 млн.руб.</w:t>
      </w:r>
      <w:r w:rsidR="00BD4F78" w:rsidRPr="00BD4F78">
        <w:t xml:space="preserve"> </w:t>
      </w:r>
    </w:p>
    <w:p w:rsidR="00EF3887" w:rsidRPr="007F4AB3" w:rsidRDefault="00BD4F78" w:rsidP="00F11350">
      <w:pPr>
        <w:tabs>
          <w:tab w:val="left" w:pos="0"/>
        </w:tabs>
        <w:ind w:firstLine="567"/>
        <w:jc w:val="center"/>
        <w:rPr>
          <w:b/>
          <w:bCs/>
          <w:color w:val="FF0000"/>
        </w:rPr>
      </w:pPr>
      <w:r>
        <w:t xml:space="preserve">для нужд ПАО «Томскэнергосбыт» </w:t>
      </w:r>
    </w:p>
    <w:p w:rsidR="00EF3887" w:rsidRDefault="00EF3887" w:rsidP="00F11350">
      <w:pPr>
        <w:pStyle w:val="a3"/>
        <w:tabs>
          <w:tab w:val="left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</w:p>
    <w:p w:rsidR="00EF3887" w:rsidRDefault="00EF3887" w:rsidP="00F11350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160"/>
        <w:ind w:left="0" w:firstLine="567"/>
        <w:jc w:val="both"/>
      </w:pPr>
      <w:r w:rsidRPr="00134849">
        <w:t xml:space="preserve">НАИМЕНОВАНИЕ </w:t>
      </w:r>
      <w:r>
        <w:t>УСЛУГ</w:t>
      </w:r>
      <w:r w:rsidRPr="00134849">
        <w:t xml:space="preserve"> (НОМЕНКЛАТУРА) И ПЕРЕЧЕНЬ ОБЪЕКТОВ, НА КОТОРЫХ БУДУТ </w:t>
      </w:r>
      <w:r>
        <w:t>ОКАЗЫВАТЬСЯ</w:t>
      </w:r>
      <w:r w:rsidRPr="00134849">
        <w:t xml:space="preserve"> </w:t>
      </w:r>
      <w:r>
        <w:t>УСЛУГИ</w:t>
      </w:r>
    </w:p>
    <w:p w:rsidR="00F75589" w:rsidRDefault="00A242EE" w:rsidP="00F11350">
      <w:pPr>
        <w:pStyle w:val="a3"/>
        <w:tabs>
          <w:tab w:val="left" w:pos="0"/>
        </w:tabs>
        <w:autoSpaceDE w:val="0"/>
        <w:autoSpaceDN w:val="0"/>
        <w:adjustRightInd w:val="0"/>
        <w:spacing w:after="160"/>
        <w:ind w:left="0" w:firstLine="567"/>
        <w:jc w:val="both"/>
      </w:pPr>
      <w:r>
        <w:t xml:space="preserve">Услуги по предоставлению кредита в форме возобновляемой кредитной линии с лимитом единовременной задолженности не более 400 000 000 (Четыреста миллионов) рублей сроком на 3 года </w:t>
      </w:r>
      <w:proofErr w:type="gramStart"/>
      <w:r>
        <w:t>с даты заключения</w:t>
      </w:r>
      <w:proofErr w:type="gramEnd"/>
      <w:r>
        <w:t xml:space="preserve"> договора</w:t>
      </w:r>
    </w:p>
    <w:p w:rsidR="00F6092E" w:rsidRDefault="00F6092E" w:rsidP="00F11350">
      <w:pPr>
        <w:pStyle w:val="a3"/>
        <w:tabs>
          <w:tab w:val="left" w:pos="0"/>
        </w:tabs>
        <w:autoSpaceDE w:val="0"/>
        <w:autoSpaceDN w:val="0"/>
        <w:adjustRightInd w:val="0"/>
        <w:spacing w:after="160"/>
        <w:ind w:left="0" w:firstLine="567"/>
        <w:jc w:val="both"/>
      </w:pPr>
    </w:p>
    <w:p w:rsidR="00EF3887" w:rsidRPr="00134849" w:rsidRDefault="00F75589" w:rsidP="00F11350">
      <w:pPr>
        <w:pStyle w:val="a3"/>
        <w:tabs>
          <w:tab w:val="left" w:pos="0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2</w:t>
      </w:r>
      <w:r w:rsidR="00EF3887" w:rsidRPr="00134849">
        <w:t>. ОБЩИЕ ТРЕБОВАНИЯ</w:t>
      </w:r>
    </w:p>
    <w:p w:rsidR="005F19BF" w:rsidRDefault="00EF3887" w:rsidP="00F11350">
      <w:pPr>
        <w:tabs>
          <w:tab w:val="left" w:pos="0"/>
        </w:tabs>
        <w:autoSpaceDE w:val="0"/>
        <w:autoSpaceDN w:val="0"/>
        <w:adjustRightInd w:val="0"/>
        <w:spacing w:after="160"/>
        <w:ind w:firstLine="567"/>
        <w:jc w:val="both"/>
      </w:pPr>
      <w:r w:rsidRPr="00134849">
        <w:t xml:space="preserve">2.1. Основание для </w:t>
      </w:r>
      <w:r>
        <w:t>оказания</w:t>
      </w:r>
      <w:r w:rsidRPr="00134849">
        <w:t xml:space="preserve"> </w:t>
      </w:r>
      <w:r>
        <w:t>услуг</w:t>
      </w:r>
    </w:p>
    <w:p w:rsidR="00021295" w:rsidRPr="00021295" w:rsidRDefault="00021295" w:rsidP="00F11350">
      <w:pPr>
        <w:tabs>
          <w:tab w:val="left" w:pos="0"/>
        </w:tabs>
        <w:autoSpaceDE w:val="0"/>
        <w:autoSpaceDN w:val="0"/>
        <w:adjustRightInd w:val="0"/>
        <w:spacing w:after="160"/>
        <w:ind w:firstLine="567"/>
        <w:jc w:val="both"/>
      </w:pPr>
      <w:r w:rsidRPr="00021295">
        <w:t>Для обеспечения бесперебойной финансово-хозяйственной деятельности и покрытия кассовых разрывов у Общества возникает необходимость привлечения кредитных сре</w:t>
      </w:r>
      <w:proofErr w:type="gramStart"/>
      <w:r w:rsidRPr="00021295">
        <w:t>дств дл</w:t>
      </w:r>
      <w:proofErr w:type="gramEnd"/>
      <w:r w:rsidRPr="00021295">
        <w:t>я надлежащего исполнения обязательств перед поставщиками электрической энергии и мощности оптового рынка и услуг сетевых организаций. Основание для проведения закупки - Годовая комплексная программа закупок на 2017 год.</w:t>
      </w:r>
    </w:p>
    <w:p w:rsidR="00EA602F" w:rsidRDefault="00EF3887" w:rsidP="00F11350">
      <w:pPr>
        <w:tabs>
          <w:tab w:val="left" w:pos="0"/>
        </w:tabs>
        <w:autoSpaceDE w:val="0"/>
        <w:autoSpaceDN w:val="0"/>
        <w:adjustRightInd w:val="0"/>
        <w:spacing w:after="160"/>
        <w:ind w:firstLine="567"/>
        <w:jc w:val="both"/>
      </w:pPr>
      <w:r w:rsidRPr="00134849">
        <w:t xml:space="preserve">2.2. </w:t>
      </w:r>
      <w:r w:rsidRPr="00300BD7">
        <w:t>Требования к срокам оказания</w:t>
      </w:r>
      <w:r w:rsidRPr="00134849">
        <w:t xml:space="preserve"> </w:t>
      </w:r>
      <w:r>
        <w:t>услуг</w:t>
      </w:r>
      <w:r w:rsidR="001E15B8">
        <w:t>:</w:t>
      </w:r>
      <w:r w:rsidR="00281548">
        <w:t xml:space="preserve"> </w:t>
      </w:r>
    </w:p>
    <w:p w:rsidR="00EA602F" w:rsidRDefault="00F6092E" w:rsidP="00F11350">
      <w:pPr>
        <w:tabs>
          <w:tab w:val="left" w:pos="709"/>
        </w:tabs>
        <w:autoSpaceDE w:val="0"/>
        <w:autoSpaceDN w:val="0"/>
        <w:adjustRightInd w:val="0"/>
        <w:spacing w:after="160"/>
        <w:ind w:firstLine="567"/>
        <w:jc w:val="both"/>
      </w:pPr>
      <w:r>
        <w:t>Начало оказания услуг-с момента подписания договора</w:t>
      </w:r>
    </w:p>
    <w:p w:rsidR="00021295" w:rsidRDefault="00F6092E" w:rsidP="00F11350">
      <w:pPr>
        <w:tabs>
          <w:tab w:val="left" w:pos="709"/>
        </w:tabs>
        <w:autoSpaceDE w:val="0"/>
        <w:autoSpaceDN w:val="0"/>
        <w:adjustRightInd w:val="0"/>
        <w:spacing w:after="160"/>
        <w:ind w:firstLine="567"/>
        <w:jc w:val="both"/>
      </w:pPr>
      <w:r>
        <w:t>Окончание оказания услуг-</w:t>
      </w:r>
      <w:r w:rsidR="00021295" w:rsidRPr="00021295">
        <w:t xml:space="preserve">3 года  </w:t>
      </w:r>
      <w:proofErr w:type="gramStart"/>
      <w:r w:rsidR="00021295" w:rsidRPr="00021295">
        <w:t>с даты подписания</w:t>
      </w:r>
      <w:proofErr w:type="gramEnd"/>
      <w:r w:rsidR="00021295" w:rsidRPr="00021295">
        <w:t xml:space="preserve"> договора.</w:t>
      </w:r>
    </w:p>
    <w:p w:rsidR="00EF3887" w:rsidRDefault="00EF3887" w:rsidP="00F11350">
      <w:pPr>
        <w:pStyle w:val="a3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spacing w:after="160"/>
        <w:ind w:left="0" w:firstLine="567"/>
        <w:jc w:val="both"/>
      </w:pPr>
      <w:r w:rsidRPr="00134849">
        <w:t xml:space="preserve">Нормативные требования к качеству </w:t>
      </w:r>
      <w:r>
        <w:t>услуг</w:t>
      </w:r>
      <w:r w:rsidRPr="00134849">
        <w:t>, их результату</w:t>
      </w:r>
      <w:r w:rsidR="00351BF6">
        <w:t>.</w:t>
      </w:r>
    </w:p>
    <w:p w:rsidR="00021295" w:rsidRDefault="00021295" w:rsidP="00F11350">
      <w:pPr>
        <w:tabs>
          <w:tab w:val="left" w:pos="426"/>
        </w:tabs>
        <w:autoSpaceDE w:val="0"/>
        <w:autoSpaceDN w:val="0"/>
        <w:adjustRightInd w:val="0"/>
        <w:spacing w:after="160"/>
        <w:ind w:firstLine="567"/>
        <w:jc w:val="both"/>
      </w:pPr>
      <w:r>
        <w:tab/>
        <w:t>У</w:t>
      </w:r>
      <w:r w:rsidRPr="004974D5">
        <w:t xml:space="preserve">слуги по </w:t>
      </w:r>
      <w:r>
        <w:t>п</w:t>
      </w:r>
      <w:r w:rsidRPr="009F432F">
        <w:t>ривлечени</w:t>
      </w:r>
      <w:r>
        <w:t xml:space="preserve">ю </w:t>
      </w:r>
      <w:r w:rsidRPr="009F432F">
        <w:t xml:space="preserve">заемных денежных средств </w:t>
      </w:r>
      <w:r>
        <w:t xml:space="preserve">должны быть оказаны с соблюдением </w:t>
      </w:r>
      <w:r w:rsidRPr="004974D5">
        <w:t>требован</w:t>
      </w:r>
      <w:r>
        <w:t>ий</w:t>
      </w:r>
      <w:r w:rsidRPr="004974D5">
        <w:t xml:space="preserve"> </w:t>
      </w:r>
      <w:r w:rsidRPr="0019604C">
        <w:t>Финансов</w:t>
      </w:r>
      <w:r>
        <w:t>ой</w:t>
      </w:r>
      <w:r w:rsidRPr="0019604C">
        <w:t xml:space="preserve"> политик</w:t>
      </w:r>
      <w:r>
        <w:t>и</w:t>
      </w:r>
      <w:r w:rsidR="00E13A0D">
        <w:t xml:space="preserve"> ПАО «</w:t>
      </w:r>
      <w:proofErr w:type="spellStart"/>
      <w:r w:rsidR="00E13A0D">
        <w:t>Томскэнергосбыт</w:t>
      </w:r>
      <w:proofErr w:type="spellEnd"/>
      <w:r w:rsidR="00E13A0D">
        <w:t>»</w:t>
      </w:r>
    </w:p>
    <w:p w:rsidR="00EF3887" w:rsidRDefault="00EF3887" w:rsidP="00F11350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160"/>
        <w:ind w:left="0" w:firstLine="567"/>
        <w:jc w:val="both"/>
      </w:pPr>
      <w:r w:rsidRPr="00134849">
        <w:t xml:space="preserve">ТРЕБОВАНИЯ К </w:t>
      </w:r>
      <w:r>
        <w:t>ОКАЗАНИЮ</w:t>
      </w:r>
      <w:r w:rsidRPr="00134849">
        <w:t xml:space="preserve"> </w:t>
      </w:r>
      <w:r>
        <w:t>УСЛУГ</w:t>
      </w:r>
    </w:p>
    <w:p w:rsidR="00E13A0D" w:rsidRDefault="00E13A0D" w:rsidP="00F11350">
      <w:pPr>
        <w:pStyle w:val="a3"/>
        <w:tabs>
          <w:tab w:val="left" w:pos="0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3.1. Объем оказываемых услуг</w:t>
      </w:r>
    </w:p>
    <w:p w:rsidR="00F3510A" w:rsidRPr="00015BE8" w:rsidRDefault="00F3510A" w:rsidP="00F11350">
      <w:pPr>
        <w:ind w:firstLine="567"/>
        <w:jc w:val="both"/>
      </w:pPr>
      <w:r w:rsidRPr="00015BE8">
        <w:t xml:space="preserve">Услуги по предоставлению кредита в форме </w:t>
      </w:r>
      <w:r>
        <w:t>возобновляемой кредитной линии</w:t>
      </w:r>
      <w:r w:rsidRPr="00015BE8">
        <w:t xml:space="preserve"> на сумму </w:t>
      </w:r>
      <w:r>
        <w:t>400 000 000</w:t>
      </w:r>
      <w:r w:rsidRPr="00015BE8">
        <w:t xml:space="preserve"> </w:t>
      </w:r>
      <w:r>
        <w:t xml:space="preserve">(Четыреста миллионов) </w:t>
      </w:r>
      <w:r w:rsidRPr="00015BE8">
        <w:t>руб</w:t>
      </w:r>
      <w:r>
        <w:t>лей</w:t>
      </w:r>
      <w:r w:rsidRPr="00015BE8">
        <w:t xml:space="preserve"> сроком на </w:t>
      </w:r>
      <w:r>
        <w:t>3</w:t>
      </w:r>
      <w:r w:rsidRPr="00015BE8">
        <w:t xml:space="preserve"> года, </w:t>
      </w:r>
      <w:r>
        <w:t xml:space="preserve">с привлечением </w:t>
      </w:r>
      <w:r w:rsidRPr="00015BE8">
        <w:t xml:space="preserve"> отдельных траншей до </w:t>
      </w:r>
      <w:r>
        <w:t>365 дней</w:t>
      </w:r>
      <w:r w:rsidRPr="00F03B7C">
        <w:t xml:space="preserve"> (</w:t>
      </w:r>
      <w:r>
        <w:t>включительно</w:t>
      </w:r>
      <w:r w:rsidRPr="00F03B7C">
        <w:t>)</w:t>
      </w:r>
      <w:r>
        <w:t>.</w:t>
      </w:r>
    </w:p>
    <w:p w:rsidR="00F3510A" w:rsidRDefault="00F3510A" w:rsidP="00F11350">
      <w:pPr>
        <w:pStyle w:val="a3"/>
        <w:tabs>
          <w:tab w:val="left" w:pos="0"/>
        </w:tabs>
        <w:autoSpaceDE w:val="0"/>
        <w:autoSpaceDN w:val="0"/>
        <w:adjustRightInd w:val="0"/>
        <w:spacing w:after="160"/>
        <w:ind w:left="0" w:firstLine="567"/>
        <w:jc w:val="both"/>
      </w:pPr>
    </w:p>
    <w:p w:rsidR="00E13A0D" w:rsidRDefault="00E13A0D" w:rsidP="00F11350">
      <w:pPr>
        <w:pStyle w:val="a3"/>
        <w:tabs>
          <w:tab w:val="left" w:pos="0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3.2. Требования к последовательности этапов оказания услуг</w:t>
      </w:r>
    </w:p>
    <w:p w:rsidR="008C0A5E" w:rsidRPr="00D24D1D" w:rsidRDefault="008C0A5E" w:rsidP="00F11350">
      <w:pPr>
        <w:autoSpaceDE w:val="0"/>
        <w:autoSpaceDN w:val="0"/>
        <w:adjustRightInd w:val="0"/>
        <w:ind w:firstLine="567"/>
        <w:jc w:val="both"/>
      </w:pPr>
      <w:r>
        <w:t>Заемные средства предоставляются</w:t>
      </w:r>
      <w:r w:rsidRPr="00D24D1D">
        <w:t xml:space="preserve"> отдельными траншами по заявлени</w:t>
      </w:r>
      <w:r>
        <w:t>ю</w:t>
      </w:r>
      <w:r w:rsidRPr="00D24D1D">
        <w:t xml:space="preserve"> </w:t>
      </w:r>
      <w:r>
        <w:t>З</w:t>
      </w:r>
      <w:r w:rsidRPr="00D24D1D">
        <w:t>аемщика в течение 1 (одного) Рабочего дня после пред</w:t>
      </w:r>
      <w:r>
        <w:t>о</w:t>
      </w:r>
      <w:r w:rsidRPr="00D24D1D">
        <w:t>ставления Заявления.</w:t>
      </w:r>
      <w:r w:rsidRPr="00D24D1D">
        <w:tab/>
        <w:t>Заемщик вправе досрочно (полностью или частично) погасить задолженность</w:t>
      </w:r>
      <w:r w:rsidRPr="00131F6D">
        <w:t xml:space="preserve">, </w:t>
      </w:r>
      <w:r w:rsidRPr="00D24D1D">
        <w:t>пред</w:t>
      </w:r>
      <w:r>
        <w:t>о</w:t>
      </w:r>
      <w:r w:rsidRPr="00D24D1D">
        <w:t xml:space="preserve">ставив </w:t>
      </w:r>
      <w:r>
        <w:t>Кредитору</w:t>
      </w:r>
      <w:r w:rsidRPr="00D24D1D">
        <w:t xml:space="preserve"> письменное Уведомление за 1 (один) Рабочий день до перечисления суммы Основного долга на счет </w:t>
      </w:r>
      <w:r>
        <w:t>Кредитора</w:t>
      </w:r>
      <w:r w:rsidRPr="00D24D1D">
        <w:t>, указав в Уведомлении дату досрочного погашения (возврата) Кредита и досрочно погашаемую (возвращаемую) сумму Кредита.</w:t>
      </w:r>
    </w:p>
    <w:p w:rsidR="008C0A5E" w:rsidRDefault="008C0A5E" w:rsidP="00F11350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881D44">
        <w:t>В случае изменения процентной ставки Кредитор не менее</w:t>
      </w:r>
      <w:proofErr w:type="gramStart"/>
      <w:r w:rsidR="00B50186">
        <w:t>,</w:t>
      </w:r>
      <w:proofErr w:type="gramEnd"/>
      <w:r w:rsidRPr="00881D44">
        <w:t xml:space="preserve"> чем за </w:t>
      </w:r>
      <w:r>
        <w:t>20</w:t>
      </w:r>
      <w:r w:rsidRPr="00881D44">
        <w:t xml:space="preserve"> (</w:t>
      </w:r>
      <w:r>
        <w:t>двадцать</w:t>
      </w:r>
      <w:r w:rsidRPr="00881D44">
        <w:t xml:space="preserve">) </w:t>
      </w:r>
      <w:r>
        <w:t>рабочих</w:t>
      </w:r>
      <w:r w:rsidRPr="00881D44">
        <w:t xml:space="preserve"> дней до наступления даты изменения процентной ставки направляет Заемщику уведомление об изменении процентной ставки.</w:t>
      </w:r>
    </w:p>
    <w:p w:rsidR="00F3510A" w:rsidRDefault="00F3510A" w:rsidP="00F11350">
      <w:pPr>
        <w:pStyle w:val="a3"/>
        <w:tabs>
          <w:tab w:val="left" w:pos="709"/>
        </w:tabs>
        <w:autoSpaceDE w:val="0"/>
        <w:autoSpaceDN w:val="0"/>
        <w:adjustRightInd w:val="0"/>
        <w:spacing w:after="160"/>
        <w:ind w:left="0" w:firstLine="567"/>
        <w:jc w:val="both"/>
      </w:pPr>
    </w:p>
    <w:p w:rsidR="008C0A5E" w:rsidRDefault="00E13A0D" w:rsidP="00F11350">
      <w:pPr>
        <w:pStyle w:val="a3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Требования к организации обеспечения услуг</w:t>
      </w:r>
      <w:r w:rsidR="008C0A5E">
        <w:t>:</w:t>
      </w:r>
    </w:p>
    <w:p w:rsidR="00E13A0D" w:rsidRDefault="008C0A5E" w:rsidP="00F11350">
      <w:pPr>
        <w:tabs>
          <w:tab w:val="left" w:pos="709"/>
        </w:tabs>
        <w:autoSpaceDE w:val="0"/>
        <w:autoSpaceDN w:val="0"/>
        <w:adjustRightInd w:val="0"/>
        <w:spacing w:after="160"/>
        <w:ind w:firstLine="567"/>
        <w:jc w:val="both"/>
      </w:pPr>
      <w:r>
        <w:tab/>
        <w:t xml:space="preserve"> не требуются </w:t>
      </w:r>
    </w:p>
    <w:p w:rsidR="008C0A5E" w:rsidRDefault="00E13A0D" w:rsidP="00F11350">
      <w:pPr>
        <w:pStyle w:val="a3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Требования к применяемым материалам и оборудованию</w:t>
      </w:r>
      <w:r w:rsidR="008C0A5E">
        <w:t xml:space="preserve">: </w:t>
      </w:r>
    </w:p>
    <w:p w:rsidR="00E13A0D" w:rsidRDefault="008C0A5E" w:rsidP="00F11350">
      <w:pPr>
        <w:tabs>
          <w:tab w:val="left" w:pos="709"/>
        </w:tabs>
        <w:autoSpaceDE w:val="0"/>
        <w:autoSpaceDN w:val="0"/>
        <w:adjustRightInd w:val="0"/>
        <w:spacing w:after="160"/>
        <w:ind w:firstLine="567"/>
        <w:jc w:val="both"/>
      </w:pPr>
      <w:r>
        <w:tab/>
        <w:t>не требуются</w:t>
      </w:r>
    </w:p>
    <w:p w:rsidR="008C0A5E" w:rsidRDefault="008C0A5E" w:rsidP="00F11350">
      <w:pPr>
        <w:pStyle w:val="a3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Т</w:t>
      </w:r>
      <w:r w:rsidR="00F3510A">
        <w:t>ребования безопасности</w:t>
      </w:r>
      <w:r>
        <w:t xml:space="preserve">: </w:t>
      </w:r>
    </w:p>
    <w:p w:rsidR="00E13A0D" w:rsidRDefault="008C0A5E" w:rsidP="00F11350">
      <w:pPr>
        <w:tabs>
          <w:tab w:val="left" w:pos="709"/>
        </w:tabs>
        <w:autoSpaceDE w:val="0"/>
        <w:autoSpaceDN w:val="0"/>
        <w:adjustRightInd w:val="0"/>
        <w:spacing w:after="160"/>
        <w:ind w:firstLine="567"/>
        <w:jc w:val="both"/>
      </w:pPr>
      <w:r>
        <w:tab/>
        <w:t>не требуются</w:t>
      </w:r>
    </w:p>
    <w:p w:rsidR="008C0A5E" w:rsidRDefault="008C0A5E" w:rsidP="00F11350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Т</w:t>
      </w:r>
      <w:r w:rsidR="00F3510A">
        <w:t>ребования к порядку подготовки и передачи  заказчику документ</w:t>
      </w:r>
      <w:r>
        <w:t>о</w:t>
      </w:r>
      <w:r w:rsidR="00F3510A">
        <w:t>в</w:t>
      </w:r>
      <w:r>
        <w:t xml:space="preserve"> </w:t>
      </w:r>
      <w:r w:rsidR="00F3510A">
        <w:t>при оказании услуг и их завершении</w:t>
      </w:r>
      <w:r>
        <w:t xml:space="preserve">: </w:t>
      </w:r>
    </w:p>
    <w:p w:rsidR="00F3510A" w:rsidRDefault="008C0A5E" w:rsidP="00F11350">
      <w:pPr>
        <w:tabs>
          <w:tab w:val="left" w:pos="709"/>
        </w:tabs>
        <w:autoSpaceDE w:val="0"/>
        <w:autoSpaceDN w:val="0"/>
        <w:adjustRightInd w:val="0"/>
        <w:spacing w:after="160"/>
        <w:ind w:firstLine="567"/>
        <w:jc w:val="both"/>
      </w:pPr>
      <w:r>
        <w:tab/>
        <w:t>не требуются</w:t>
      </w:r>
    </w:p>
    <w:p w:rsidR="008C0A5E" w:rsidRDefault="00F3510A" w:rsidP="00F11350">
      <w:pPr>
        <w:pStyle w:val="a3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Требования к гарантийным обязательствам</w:t>
      </w:r>
      <w:r w:rsidR="008C0A5E">
        <w:t xml:space="preserve">: </w:t>
      </w:r>
    </w:p>
    <w:p w:rsidR="00F3510A" w:rsidRDefault="008C0A5E" w:rsidP="00F11350">
      <w:pPr>
        <w:tabs>
          <w:tab w:val="left" w:pos="709"/>
        </w:tabs>
        <w:autoSpaceDE w:val="0"/>
        <w:autoSpaceDN w:val="0"/>
        <w:adjustRightInd w:val="0"/>
        <w:spacing w:after="160"/>
        <w:ind w:firstLine="567"/>
        <w:jc w:val="both"/>
      </w:pPr>
      <w:r>
        <w:tab/>
        <w:t>не требуются</w:t>
      </w:r>
    </w:p>
    <w:p w:rsidR="008C0A5E" w:rsidRDefault="008C0A5E" w:rsidP="00F11350">
      <w:pPr>
        <w:pStyle w:val="a3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О</w:t>
      </w:r>
      <w:r w:rsidR="00F3510A">
        <w:t>тветственность исполнителя</w:t>
      </w:r>
      <w:r>
        <w:t>:</w:t>
      </w:r>
    </w:p>
    <w:p w:rsidR="00F3510A" w:rsidRDefault="008C0A5E" w:rsidP="00F11350">
      <w:pPr>
        <w:tabs>
          <w:tab w:val="left" w:pos="709"/>
        </w:tabs>
        <w:autoSpaceDE w:val="0"/>
        <w:autoSpaceDN w:val="0"/>
        <w:adjustRightInd w:val="0"/>
        <w:spacing w:after="160"/>
        <w:ind w:firstLine="567"/>
        <w:jc w:val="both"/>
      </w:pPr>
      <w:r>
        <w:t>О</w:t>
      </w:r>
      <w:r w:rsidRPr="004D19F8">
        <w:t>тветственность Исполнителя регламентируется договором. За неисполнение или ненадлежащее исполнение обязательств по настоящему Договору Стороны несут ответственность в соответствии с законодательством РФ</w:t>
      </w:r>
      <w:r>
        <w:t>.</w:t>
      </w:r>
      <w:r w:rsidRPr="000B6F47">
        <w:tab/>
      </w:r>
    </w:p>
    <w:p w:rsidR="00F3510A" w:rsidRDefault="00F3510A" w:rsidP="00F11350">
      <w:pPr>
        <w:pStyle w:val="a3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Требования к порядку привлечения субподрядчиков</w:t>
      </w:r>
      <w:r w:rsidR="008C0A5E">
        <w:t>:</w:t>
      </w:r>
    </w:p>
    <w:p w:rsidR="008C0A5E" w:rsidRDefault="008C0A5E" w:rsidP="00F11350">
      <w:pPr>
        <w:tabs>
          <w:tab w:val="left" w:pos="709"/>
        </w:tabs>
        <w:autoSpaceDE w:val="0"/>
        <w:autoSpaceDN w:val="0"/>
        <w:adjustRightInd w:val="0"/>
        <w:spacing w:after="160"/>
        <w:ind w:firstLine="567"/>
        <w:jc w:val="both"/>
      </w:pPr>
      <w:r>
        <w:tab/>
        <w:t>не требуются</w:t>
      </w:r>
    </w:p>
    <w:p w:rsidR="00F3510A" w:rsidRDefault="00F3510A" w:rsidP="00F11350">
      <w:pPr>
        <w:pStyle w:val="a3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60"/>
        <w:ind w:left="0" w:firstLine="567"/>
        <w:jc w:val="both"/>
      </w:pPr>
      <w:r>
        <w:t>ТРЕБОВАНИЯ К ПОРЯД</w:t>
      </w:r>
      <w:r w:rsidRPr="00134849">
        <w:t>К</w:t>
      </w:r>
      <w:r>
        <w:t>У</w:t>
      </w:r>
      <w:r w:rsidRPr="00134849">
        <w:t xml:space="preserve"> ФОРМИРОВАНИЯ КОММЕРЧЕСКОГО ПРЕДЛОЖЕНИЯ УЧАСТНИКА</w:t>
      </w:r>
      <w:r>
        <w:t xml:space="preserve"> ЗАКУПКИ</w:t>
      </w:r>
      <w:r w:rsidRPr="00134849">
        <w:t>, ОБОСНОВАНИ</w:t>
      </w:r>
      <w:r>
        <w:t>Ю</w:t>
      </w:r>
      <w:r w:rsidRPr="00134849">
        <w:t xml:space="preserve"> ЦЕНЫ</w:t>
      </w:r>
      <w:r>
        <w:t>, РАСЧЕТОВ</w:t>
      </w:r>
    </w:p>
    <w:p w:rsidR="007B4230" w:rsidRDefault="007B4230" w:rsidP="00F11350">
      <w:pPr>
        <w:pStyle w:val="a3"/>
        <w:tabs>
          <w:tab w:val="left" w:pos="709"/>
        </w:tabs>
        <w:autoSpaceDE w:val="0"/>
        <w:autoSpaceDN w:val="0"/>
        <w:adjustRightInd w:val="0"/>
        <w:spacing w:after="160"/>
        <w:ind w:left="0" w:firstLine="567"/>
        <w:jc w:val="both"/>
      </w:pPr>
    </w:p>
    <w:p w:rsidR="00D61C2D" w:rsidRPr="00D61C2D" w:rsidRDefault="00D61C2D" w:rsidP="00F11350">
      <w:pPr>
        <w:pStyle w:val="a3"/>
        <w:numPr>
          <w:ilvl w:val="1"/>
          <w:numId w:val="3"/>
        </w:numPr>
        <w:tabs>
          <w:tab w:val="left" w:pos="602"/>
        </w:tabs>
        <w:ind w:left="0" w:firstLine="567"/>
        <w:jc w:val="both"/>
        <w:rPr>
          <w:b/>
        </w:rPr>
      </w:pPr>
      <w:r w:rsidRPr="00D61C2D">
        <w:rPr>
          <w:rFonts w:eastAsia="Arial Unicode MS"/>
        </w:rPr>
        <w:t>Порядок формирования цены договора:</w:t>
      </w:r>
    </w:p>
    <w:p w:rsidR="00D61C2D" w:rsidRPr="00125DDE" w:rsidRDefault="00D61C2D" w:rsidP="00F11350">
      <w:pPr>
        <w:pStyle w:val="19"/>
        <w:shd w:val="clear" w:color="auto" w:fill="auto"/>
        <w:spacing w:line="240" w:lineRule="auto"/>
        <w:ind w:firstLine="567"/>
        <w:rPr>
          <w:sz w:val="24"/>
          <w:szCs w:val="24"/>
        </w:rPr>
      </w:pPr>
      <w:r w:rsidRPr="00125DDE">
        <w:rPr>
          <w:rStyle w:val="1"/>
          <w:sz w:val="24"/>
          <w:szCs w:val="24"/>
        </w:rPr>
        <w:t>При расчете цены договора предполагается пользование кредитными средствами в течение всего периода действия договора.</w:t>
      </w:r>
      <w:r>
        <w:rPr>
          <w:rStyle w:val="1"/>
          <w:sz w:val="24"/>
          <w:szCs w:val="24"/>
        </w:rPr>
        <w:t xml:space="preserve"> </w:t>
      </w:r>
    </w:p>
    <w:p w:rsidR="00D61C2D" w:rsidRPr="00125DDE" w:rsidRDefault="00D61C2D" w:rsidP="00F11350">
      <w:pPr>
        <w:pStyle w:val="19"/>
        <w:shd w:val="clear" w:color="auto" w:fill="auto"/>
        <w:spacing w:line="240" w:lineRule="auto"/>
        <w:ind w:firstLine="567"/>
        <w:rPr>
          <w:rStyle w:val="1"/>
          <w:sz w:val="24"/>
          <w:szCs w:val="24"/>
          <w:u w:val="single"/>
        </w:rPr>
      </w:pPr>
    </w:p>
    <w:p w:rsidR="00D61C2D" w:rsidRPr="00125DDE" w:rsidRDefault="00D61C2D" w:rsidP="00F11350">
      <w:pPr>
        <w:pStyle w:val="19"/>
        <w:shd w:val="clear" w:color="auto" w:fill="auto"/>
        <w:spacing w:line="240" w:lineRule="auto"/>
        <w:ind w:firstLine="567"/>
        <w:rPr>
          <w:rStyle w:val="1"/>
          <w:sz w:val="24"/>
          <w:szCs w:val="24"/>
          <w:u w:val="single"/>
        </w:rPr>
      </w:pPr>
      <w:r>
        <w:rPr>
          <w:rStyle w:val="1"/>
          <w:sz w:val="24"/>
          <w:szCs w:val="24"/>
          <w:u w:val="single"/>
        </w:rPr>
        <w:t>4</w:t>
      </w:r>
      <w:r w:rsidRPr="00125DDE">
        <w:rPr>
          <w:rStyle w:val="1"/>
          <w:sz w:val="24"/>
          <w:szCs w:val="24"/>
          <w:u w:val="single"/>
        </w:rPr>
        <w:t xml:space="preserve">00 000 000,00 </w:t>
      </w:r>
      <w:r>
        <w:rPr>
          <w:rStyle w:val="3"/>
          <w:sz w:val="24"/>
          <w:szCs w:val="24"/>
          <w:u w:val="single"/>
        </w:rPr>
        <w:t xml:space="preserve">* </w:t>
      </w:r>
      <w:r w:rsidRPr="00125DDE">
        <w:rPr>
          <w:rStyle w:val="3"/>
          <w:sz w:val="24"/>
          <w:szCs w:val="24"/>
          <w:u w:val="single"/>
        </w:rPr>
        <w:t xml:space="preserve"> </w:t>
      </w:r>
      <w:r w:rsidRPr="00125DDE">
        <w:rPr>
          <w:rStyle w:val="1"/>
          <w:sz w:val="24"/>
          <w:szCs w:val="24"/>
          <w:u w:val="single"/>
        </w:rPr>
        <w:t xml:space="preserve">% ставка  </w:t>
      </w:r>
    </w:p>
    <w:p w:rsidR="00D61C2D" w:rsidRDefault="00D61C2D" w:rsidP="00F11350">
      <w:pPr>
        <w:pStyle w:val="19"/>
        <w:shd w:val="clear" w:color="auto" w:fill="auto"/>
        <w:spacing w:line="240" w:lineRule="auto"/>
        <w:ind w:firstLine="567"/>
        <w:rPr>
          <w:rStyle w:val="1"/>
          <w:sz w:val="24"/>
          <w:szCs w:val="24"/>
        </w:rPr>
      </w:pPr>
      <w:r w:rsidRPr="00125DDE">
        <w:rPr>
          <w:rStyle w:val="1"/>
          <w:sz w:val="24"/>
          <w:szCs w:val="24"/>
        </w:rPr>
        <w:t xml:space="preserve">               </w:t>
      </w:r>
      <w:r>
        <w:rPr>
          <w:rStyle w:val="1"/>
          <w:sz w:val="24"/>
          <w:szCs w:val="24"/>
        </w:rPr>
        <w:t xml:space="preserve">              365</w:t>
      </w:r>
      <w:r>
        <w:rPr>
          <w:rStyle w:val="1"/>
          <w:sz w:val="24"/>
          <w:szCs w:val="24"/>
        </w:rPr>
        <w:tab/>
      </w:r>
      <w:r>
        <w:rPr>
          <w:rStyle w:val="1"/>
          <w:sz w:val="24"/>
          <w:szCs w:val="24"/>
        </w:rPr>
        <w:tab/>
      </w:r>
      <w:r>
        <w:rPr>
          <w:rStyle w:val="1"/>
          <w:sz w:val="24"/>
          <w:szCs w:val="24"/>
        </w:rPr>
        <w:tab/>
        <w:t xml:space="preserve">* 1095 </w:t>
      </w:r>
    </w:p>
    <w:p w:rsidR="00D61C2D" w:rsidRDefault="00D61C2D" w:rsidP="00F11350">
      <w:pPr>
        <w:pStyle w:val="19"/>
        <w:shd w:val="clear" w:color="auto" w:fill="auto"/>
        <w:spacing w:line="240" w:lineRule="auto"/>
        <w:ind w:firstLine="567"/>
        <w:rPr>
          <w:rStyle w:val="1"/>
          <w:sz w:val="24"/>
          <w:szCs w:val="24"/>
        </w:rPr>
      </w:pPr>
    </w:p>
    <w:p w:rsidR="00D61C2D" w:rsidRPr="00D61C2D" w:rsidRDefault="00D61C2D" w:rsidP="00F11350">
      <w:pPr>
        <w:pStyle w:val="19"/>
        <w:shd w:val="clear" w:color="auto" w:fill="auto"/>
        <w:spacing w:line="240" w:lineRule="auto"/>
        <w:ind w:firstLine="567"/>
        <w:rPr>
          <w:rStyle w:val="1"/>
          <w:sz w:val="24"/>
          <w:szCs w:val="24"/>
        </w:rPr>
      </w:pPr>
      <w:r>
        <w:rPr>
          <w:sz w:val="24"/>
          <w:szCs w:val="24"/>
        </w:rPr>
        <w:t>4.2.</w:t>
      </w:r>
      <w:r w:rsidRPr="00E31860">
        <w:rPr>
          <w:rStyle w:val="1"/>
          <w:sz w:val="24"/>
          <w:szCs w:val="24"/>
        </w:rPr>
        <w:t xml:space="preserve"> </w:t>
      </w:r>
      <w:r w:rsidRPr="00357FFB">
        <w:rPr>
          <w:rStyle w:val="1"/>
          <w:sz w:val="24"/>
          <w:szCs w:val="24"/>
        </w:rPr>
        <w:t>Стоимость предложения определяется в процентах годовых (указывается с точностью до десятых долей). Привлекательность коммерческого предложения будет оцениваться по минимальной величине процент</w:t>
      </w:r>
      <w:r w:rsidR="0010596A">
        <w:rPr>
          <w:rStyle w:val="1"/>
          <w:sz w:val="24"/>
          <w:szCs w:val="24"/>
        </w:rPr>
        <w:t xml:space="preserve">ной ставки, предложенной каждым из </w:t>
      </w:r>
      <w:r w:rsidR="0010596A" w:rsidRPr="00357FFB">
        <w:rPr>
          <w:rStyle w:val="1"/>
          <w:sz w:val="24"/>
          <w:szCs w:val="24"/>
        </w:rPr>
        <w:t>Участников</w:t>
      </w:r>
      <w:r w:rsidR="00221AAD">
        <w:rPr>
          <w:rStyle w:val="1"/>
          <w:sz w:val="24"/>
          <w:szCs w:val="24"/>
        </w:rPr>
        <w:t>.</w:t>
      </w:r>
      <w:r w:rsidRPr="00357FFB">
        <w:rPr>
          <w:rStyle w:val="1"/>
          <w:sz w:val="24"/>
          <w:szCs w:val="24"/>
        </w:rPr>
        <w:t xml:space="preserve"> </w:t>
      </w:r>
      <w:proofErr w:type="gramStart"/>
      <w:r w:rsidRPr="00357FFB">
        <w:rPr>
          <w:rStyle w:val="1"/>
          <w:sz w:val="24"/>
          <w:szCs w:val="24"/>
        </w:rPr>
        <w:t>При этом</w:t>
      </w:r>
      <w:r w:rsidR="0010596A">
        <w:rPr>
          <w:rStyle w:val="1"/>
          <w:sz w:val="24"/>
          <w:szCs w:val="24"/>
        </w:rPr>
        <w:t xml:space="preserve"> максимальный размер</w:t>
      </w:r>
      <w:r w:rsidRPr="00357FFB">
        <w:rPr>
          <w:rStyle w:val="1"/>
          <w:sz w:val="24"/>
          <w:szCs w:val="24"/>
        </w:rPr>
        <w:t xml:space="preserve"> </w:t>
      </w:r>
      <w:r w:rsidR="0010596A">
        <w:rPr>
          <w:rStyle w:val="1"/>
          <w:sz w:val="24"/>
          <w:szCs w:val="24"/>
        </w:rPr>
        <w:t xml:space="preserve">процентной ставки не должен превышать сумму </w:t>
      </w:r>
      <w:r w:rsidR="0010596A" w:rsidRPr="00357FFB">
        <w:rPr>
          <w:rStyle w:val="1"/>
          <w:sz w:val="24"/>
          <w:szCs w:val="24"/>
        </w:rPr>
        <w:t>ключевой ставки Банка России</w:t>
      </w:r>
      <w:r w:rsidR="00221AAD">
        <w:rPr>
          <w:rStyle w:val="1"/>
          <w:sz w:val="24"/>
          <w:szCs w:val="24"/>
        </w:rPr>
        <w:t xml:space="preserve"> (</w:t>
      </w:r>
      <w:r w:rsidR="00221AAD" w:rsidRPr="00357FFB">
        <w:rPr>
          <w:rStyle w:val="1"/>
          <w:sz w:val="24"/>
          <w:szCs w:val="24"/>
        </w:rPr>
        <w:t>на дату сделки</w:t>
      </w:r>
      <w:r w:rsidR="00221AAD">
        <w:rPr>
          <w:rStyle w:val="1"/>
          <w:sz w:val="24"/>
          <w:szCs w:val="24"/>
        </w:rPr>
        <w:t>)</w:t>
      </w:r>
      <w:r w:rsidR="0010596A" w:rsidRPr="00357FFB">
        <w:rPr>
          <w:rStyle w:val="1"/>
          <w:sz w:val="24"/>
          <w:szCs w:val="24"/>
        </w:rPr>
        <w:t xml:space="preserve"> </w:t>
      </w:r>
      <w:r w:rsidR="00221AAD">
        <w:rPr>
          <w:rStyle w:val="1"/>
          <w:sz w:val="24"/>
          <w:szCs w:val="24"/>
        </w:rPr>
        <w:t xml:space="preserve">и </w:t>
      </w:r>
      <w:r w:rsidR="0010596A" w:rsidRPr="00357FFB">
        <w:rPr>
          <w:rStyle w:val="1"/>
          <w:sz w:val="24"/>
          <w:szCs w:val="24"/>
        </w:rPr>
        <w:t>2,</w:t>
      </w:r>
      <w:r w:rsidR="0010596A">
        <w:rPr>
          <w:rStyle w:val="1"/>
          <w:sz w:val="24"/>
          <w:szCs w:val="24"/>
        </w:rPr>
        <w:t>0</w:t>
      </w:r>
      <w:r w:rsidR="00221AAD">
        <w:rPr>
          <w:rStyle w:val="1"/>
          <w:sz w:val="24"/>
          <w:szCs w:val="24"/>
        </w:rPr>
        <w:t xml:space="preserve"> (двух</w:t>
      </w:r>
      <w:r w:rsidR="0010596A" w:rsidRPr="00357FFB">
        <w:rPr>
          <w:rStyle w:val="1"/>
          <w:sz w:val="24"/>
          <w:szCs w:val="24"/>
        </w:rPr>
        <w:t>) % годовых</w:t>
      </w:r>
      <w:r w:rsidR="0010596A">
        <w:rPr>
          <w:rStyle w:val="1"/>
          <w:sz w:val="24"/>
          <w:szCs w:val="24"/>
        </w:rPr>
        <w:t xml:space="preserve">, а </w:t>
      </w:r>
      <w:r w:rsidRPr="00357FFB">
        <w:rPr>
          <w:rStyle w:val="1"/>
          <w:sz w:val="24"/>
          <w:szCs w:val="24"/>
        </w:rPr>
        <w:t xml:space="preserve">общий предельный размер процентов, возможных к выплате за весь период действия договора, в рублевом эквиваленте составляет не более </w:t>
      </w:r>
      <w:r w:rsidR="007B4230">
        <w:rPr>
          <w:rStyle w:val="1"/>
          <w:sz w:val="24"/>
          <w:szCs w:val="24"/>
        </w:rPr>
        <w:t>132</w:t>
      </w:r>
      <w:r w:rsidRPr="00357FFB">
        <w:rPr>
          <w:rStyle w:val="1"/>
          <w:sz w:val="24"/>
          <w:szCs w:val="24"/>
        </w:rPr>
        <w:t xml:space="preserve"> </w:t>
      </w:r>
      <w:r w:rsidR="007B4230">
        <w:rPr>
          <w:rStyle w:val="1"/>
          <w:sz w:val="24"/>
          <w:szCs w:val="24"/>
        </w:rPr>
        <w:t>0</w:t>
      </w:r>
      <w:r w:rsidRPr="00357FFB">
        <w:rPr>
          <w:rStyle w:val="1"/>
          <w:sz w:val="24"/>
          <w:szCs w:val="24"/>
        </w:rPr>
        <w:t>00 000 (</w:t>
      </w:r>
      <w:r w:rsidR="007B4230">
        <w:rPr>
          <w:rStyle w:val="1"/>
          <w:sz w:val="24"/>
          <w:szCs w:val="24"/>
        </w:rPr>
        <w:t>Сто тридцать</w:t>
      </w:r>
      <w:proofErr w:type="gramEnd"/>
      <w:r w:rsidR="007B4230">
        <w:rPr>
          <w:rStyle w:val="1"/>
          <w:sz w:val="24"/>
          <w:szCs w:val="24"/>
        </w:rPr>
        <w:t xml:space="preserve"> два</w:t>
      </w:r>
      <w:r w:rsidRPr="00357FFB">
        <w:rPr>
          <w:rStyle w:val="1"/>
          <w:sz w:val="24"/>
          <w:szCs w:val="24"/>
        </w:rPr>
        <w:t xml:space="preserve"> миллион</w:t>
      </w:r>
      <w:r w:rsidR="007B4230">
        <w:rPr>
          <w:rStyle w:val="1"/>
          <w:sz w:val="24"/>
          <w:szCs w:val="24"/>
        </w:rPr>
        <w:t>а</w:t>
      </w:r>
      <w:r w:rsidRPr="00357FFB">
        <w:rPr>
          <w:rStyle w:val="1"/>
          <w:sz w:val="24"/>
          <w:szCs w:val="24"/>
        </w:rPr>
        <w:t>) рублей.</w:t>
      </w:r>
    </w:p>
    <w:p w:rsidR="00D61C2D" w:rsidRPr="00D61C2D" w:rsidRDefault="00D61C2D" w:rsidP="00F11350">
      <w:pPr>
        <w:pStyle w:val="19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D61C2D" w:rsidRPr="00D61C2D" w:rsidRDefault="00D61C2D" w:rsidP="00F1135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ind w:left="0" w:firstLine="567"/>
        <w:jc w:val="both"/>
      </w:pPr>
      <w:r w:rsidRPr="00D61C2D">
        <w:rPr>
          <w:color w:val="000000"/>
        </w:rPr>
        <w:t xml:space="preserve">4.3. </w:t>
      </w:r>
      <w:r w:rsidRPr="00D73F0E">
        <w:t>Погашение задолженности по Траншу производится З</w:t>
      </w:r>
      <w:r>
        <w:t>аказчиком</w:t>
      </w:r>
      <w:r w:rsidRPr="00D73F0E">
        <w:t xml:space="preserve"> в день наступления срока возврата очередного Транша, указанного в Заявлении на получение денежных средств.</w:t>
      </w:r>
      <w:r w:rsidR="0029250D">
        <w:t xml:space="preserve"> </w:t>
      </w:r>
      <w:r w:rsidRPr="00D73F0E">
        <w:t>Уплата процентов за пользование привлеченными денежными средствами производится За</w:t>
      </w:r>
      <w:r>
        <w:t>казчиком</w:t>
      </w:r>
      <w:r w:rsidRPr="00D73F0E">
        <w:t xml:space="preserve"> в валюте Договора </w:t>
      </w:r>
      <w:r w:rsidRPr="00ED21EB">
        <w:t>ежемесячно</w:t>
      </w:r>
      <w:r w:rsidRPr="0070530E">
        <w:rPr>
          <w:i/>
        </w:rPr>
        <w:t xml:space="preserve"> </w:t>
      </w:r>
      <w:r w:rsidRPr="00D73F0E">
        <w:t>не позднее последнего дня месяца.</w:t>
      </w:r>
      <w:r>
        <w:t xml:space="preserve"> </w:t>
      </w:r>
      <w:r w:rsidRPr="00D73F0E">
        <w:t>В случае досрочного возврата З</w:t>
      </w:r>
      <w:r>
        <w:t>аказчиком</w:t>
      </w:r>
      <w:r w:rsidRPr="00D73F0E">
        <w:t xml:space="preserve"> Транша, подлежащие уплате проценты уплачиваются З</w:t>
      </w:r>
      <w:r>
        <w:t>аказчиком</w:t>
      </w:r>
      <w:r w:rsidRPr="00D73F0E">
        <w:t xml:space="preserve"> одновременно с возвратом данного Транша.</w:t>
      </w:r>
      <w:r w:rsidR="007B4230">
        <w:t xml:space="preserve"> </w:t>
      </w:r>
      <w:r>
        <w:t xml:space="preserve">Полная информация по условиям и порядку оплаты оказания услуг указана в проекте Договора, являющемся приложением к закупочной документации. </w:t>
      </w:r>
    </w:p>
    <w:p w:rsidR="00D61C2D" w:rsidRPr="00D61C2D" w:rsidRDefault="00D61C2D" w:rsidP="00F11350">
      <w:pPr>
        <w:tabs>
          <w:tab w:val="left" w:pos="960"/>
        </w:tabs>
        <w:ind w:firstLine="567"/>
        <w:jc w:val="both"/>
      </w:pPr>
    </w:p>
    <w:p w:rsidR="00D61C2D" w:rsidRPr="00D61C2D" w:rsidRDefault="00D61C2D" w:rsidP="00F1135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ind w:left="0" w:firstLine="567"/>
        <w:jc w:val="both"/>
      </w:pPr>
      <w:r w:rsidRPr="00D61C2D">
        <w:rPr>
          <w:color w:val="000000"/>
        </w:rPr>
        <w:t xml:space="preserve">4.4. </w:t>
      </w:r>
      <w:r w:rsidRPr="002D5F68">
        <w:t xml:space="preserve">В момент проведения конкурентных переговоров </w:t>
      </w:r>
      <w:r>
        <w:t>Участник</w:t>
      </w:r>
      <w:r w:rsidRPr="002D5F68">
        <w:t xml:space="preserve"> имеет право предоставить свой  проект договора.</w:t>
      </w:r>
    </w:p>
    <w:p w:rsidR="00D61C2D" w:rsidRPr="00D61C2D" w:rsidRDefault="00D61C2D" w:rsidP="00F1135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ind w:left="0" w:firstLine="567"/>
        <w:jc w:val="both"/>
      </w:pPr>
    </w:p>
    <w:p w:rsidR="00D61C2D" w:rsidRPr="00357FFB" w:rsidRDefault="00D61C2D" w:rsidP="00F11350">
      <w:pPr>
        <w:pStyle w:val="a3"/>
        <w:ind w:left="0" w:firstLine="567"/>
      </w:pPr>
      <w:r w:rsidRPr="00357FFB">
        <w:t xml:space="preserve">4.5. По результатам открытых конкурентных переговоров будет определено </w:t>
      </w:r>
      <w:r w:rsidRPr="00AC4E20">
        <w:t>не более двух</w:t>
      </w:r>
      <w:r w:rsidRPr="00357FFB">
        <w:t xml:space="preserve"> победителей, с которым</w:t>
      </w:r>
      <w:r w:rsidR="0029250D">
        <w:t>и</w:t>
      </w:r>
      <w:r w:rsidRPr="00357FFB">
        <w:t xml:space="preserve"> буд</w:t>
      </w:r>
      <w:r w:rsidR="0029250D">
        <w:t>у</w:t>
      </w:r>
      <w:r w:rsidRPr="00357FFB">
        <w:t>т заключен</w:t>
      </w:r>
      <w:r w:rsidR="0029250D">
        <w:t>ы</w:t>
      </w:r>
      <w:r w:rsidRPr="00357FFB">
        <w:t xml:space="preserve"> договор</w:t>
      </w:r>
      <w:r w:rsidR="0029250D">
        <w:t>ы</w:t>
      </w:r>
      <w:r w:rsidRPr="00357FFB">
        <w:t xml:space="preserve"> кредитной линии на условиях, достигнутых по результатам открытых конкурентных переговоров в соответствии с </w:t>
      </w:r>
      <w:r w:rsidR="0029250D">
        <w:t xml:space="preserve"> тр</w:t>
      </w:r>
      <w:r w:rsidRPr="00357FFB">
        <w:t>ебованиями настоящего технического задания.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386"/>
        <w:gridCol w:w="3402"/>
      </w:tblGrid>
      <w:tr w:rsidR="007B4230" w:rsidRPr="009F432F" w:rsidTr="00BD4F78">
        <w:trPr>
          <w:trHeight w:val="315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432F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/>
                <w:bCs/>
                <w:sz w:val="20"/>
                <w:szCs w:val="20"/>
              </w:rPr>
            </w:pPr>
            <w:r w:rsidRPr="006D30B8">
              <w:rPr>
                <w:b/>
                <w:bCs/>
                <w:sz w:val="20"/>
                <w:szCs w:val="20"/>
              </w:rPr>
              <w:t>Критерии (условия)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/>
                <w:bCs/>
                <w:sz w:val="20"/>
                <w:szCs w:val="20"/>
              </w:rPr>
            </w:pPr>
            <w:r w:rsidRPr="00F056F4">
              <w:rPr>
                <w:b/>
                <w:bCs/>
                <w:sz w:val="20"/>
                <w:szCs w:val="20"/>
              </w:rPr>
              <w:t>Предельный Тариф/ Требование</w:t>
            </w:r>
          </w:p>
        </w:tc>
      </w:tr>
      <w:tr w:rsidR="007B4230" w:rsidRPr="00BD0D09" w:rsidTr="00BD4F78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230" w:rsidRPr="00BD0D09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F056F4">
              <w:rPr>
                <w:bCs/>
                <w:sz w:val="20"/>
                <w:szCs w:val="20"/>
              </w:rPr>
              <w:t>Договор об открытии кредитной линии</w:t>
            </w:r>
          </w:p>
        </w:tc>
      </w:tr>
      <w:tr w:rsidR="007B4230" w:rsidRPr="006D30B8" w:rsidTr="00BD4F78">
        <w:trPr>
          <w:trHeight w:val="4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Максимальный размер единовременной ссудной задолженности Заемщика по Договору,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Не более </w:t>
            </w:r>
            <w:r w:rsidRPr="006D30B8">
              <w:rPr>
                <w:bCs/>
                <w:sz w:val="20"/>
                <w:szCs w:val="20"/>
                <w:lang w:val="en-US"/>
              </w:rPr>
              <w:t>4</w:t>
            </w:r>
            <w:r w:rsidRPr="006D30B8">
              <w:rPr>
                <w:bCs/>
                <w:sz w:val="20"/>
                <w:szCs w:val="20"/>
              </w:rPr>
              <w:t>00 000 000</w:t>
            </w: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 (Четыреста миллионов)</w:t>
            </w:r>
          </w:p>
        </w:tc>
      </w:tr>
      <w:tr w:rsidR="007B4230" w:rsidRPr="00035E85" w:rsidTr="00BD4F78">
        <w:trPr>
          <w:trHeight w:val="4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/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Срок действия договора, мес.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до </w:t>
            </w:r>
            <w:r>
              <w:rPr>
                <w:bCs/>
                <w:sz w:val="20"/>
                <w:szCs w:val="20"/>
              </w:rPr>
              <w:t>36</w:t>
            </w:r>
            <w:r w:rsidRPr="006D30B8">
              <w:rPr>
                <w:bCs/>
                <w:sz w:val="20"/>
                <w:szCs w:val="20"/>
              </w:rPr>
              <w:t xml:space="preserve"> </w:t>
            </w:r>
          </w:p>
          <w:p w:rsidR="007B4230" w:rsidRPr="00035E85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  <w:lang w:val="en-US"/>
              </w:rPr>
            </w:pPr>
            <w:r w:rsidRPr="006D30B8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Трид</w:t>
            </w:r>
            <w:r w:rsidR="00B9126F">
              <w:rPr>
                <w:bCs/>
                <w:sz w:val="20"/>
                <w:szCs w:val="20"/>
              </w:rPr>
              <w:t>ц</w:t>
            </w:r>
            <w:r>
              <w:rPr>
                <w:bCs/>
                <w:sz w:val="20"/>
                <w:szCs w:val="20"/>
              </w:rPr>
              <w:t>ати шести</w:t>
            </w:r>
            <w:r w:rsidRPr="006D30B8">
              <w:rPr>
                <w:bCs/>
                <w:sz w:val="20"/>
                <w:szCs w:val="20"/>
              </w:rPr>
              <w:t>)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B4230" w:rsidRPr="006D30B8" w:rsidTr="00BD4F78">
        <w:trPr>
          <w:trHeight w:val="4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1.2.1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221AAD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Использование Кредитной линии производится Траншами, каждый из которых может быть предоставлен на срок, дней: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18"/>
                <w:szCs w:val="18"/>
              </w:rPr>
            </w:pPr>
            <w:r w:rsidRPr="006D30B8">
              <w:rPr>
                <w:bCs/>
                <w:sz w:val="18"/>
                <w:szCs w:val="18"/>
              </w:rPr>
              <w:t xml:space="preserve">От 61 до </w:t>
            </w:r>
            <w:r>
              <w:rPr>
                <w:bCs/>
                <w:sz w:val="18"/>
                <w:szCs w:val="18"/>
                <w:lang w:val="en-US"/>
              </w:rPr>
              <w:t>365</w:t>
            </w:r>
            <w:r w:rsidRPr="006D30B8">
              <w:rPr>
                <w:bCs/>
                <w:sz w:val="18"/>
                <w:szCs w:val="18"/>
              </w:rPr>
              <w:t xml:space="preserve"> дней</w:t>
            </w:r>
          </w:p>
          <w:p w:rsidR="007B4230" w:rsidRPr="006D30B8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</w:p>
        </w:tc>
      </w:tr>
      <w:tr w:rsidR="007B4230" w:rsidRPr="006D30B8" w:rsidTr="00BD4F78">
        <w:trPr>
          <w:trHeight w:val="4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Техника предоставления кредита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C57B29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C57B29">
              <w:rPr>
                <w:bCs/>
                <w:sz w:val="20"/>
                <w:szCs w:val="20"/>
              </w:rPr>
              <w:t>Предоставление заемных ресурсов производится частями (траншами) в пределах максимальной задолженности Заемщика по договору о предоставлении денежных средств</w:t>
            </w: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C57B29">
              <w:rPr>
                <w:bCs/>
                <w:sz w:val="20"/>
                <w:szCs w:val="20"/>
              </w:rPr>
              <w:t xml:space="preserve">со свободным графиком выборки траншей на основании Заявки/Заявления Заемщика, в котором указывается сумма </w:t>
            </w:r>
            <w:r w:rsidR="00D86B46">
              <w:rPr>
                <w:bCs/>
                <w:sz w:val="20"/>
                <w:szCs w:val="20"/>
              </w:rPr>
              <w:t>Транша</w:t>
            </w:r>
            <w:r w:rsidRPr="00C57B29">
              <w:rPr>
                <w:bCs/>
                <w:sz w:val="20"/>
                <w:szCs w:val="20"/>
              </w:rPr>
              <w:t>, дата получения, дата погашения</w:t>
            </w:r>
            <w:r w:rsidR="00D86B46">
              <w:rPr>
                <w:bCs/>
                <w:sz w:val="20"/>
                <w:szCs w:val="20"/>
              </w:rPr>
              <w:t>, процентная ставка, платежные реквизиты для перечисления средств</w:t>
            </w:r>
          </w:p>
        </w:tc>
      </w:tr>
      <w:tr w:rsidR="007B4230" w:rsidRPr="006D30B8" w:rsidTr="00BD4F78">
        <w:trPr>
          <w:trHeight w:val="4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  <w:lang w:val="en-US"/>
              </w:rPr>
              <w:t>1</w:t>
            </w:r>
            <w:r w:rsidRPr="009F432F">
              <w:rPr>
                <w:bCs/>
                <w:sz w:val="20"/>
                <w:szCs w:val="20"/>
              </w:rPr>
              <w:t>.4.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Целевое использование Кредитной линии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Финансирование текущей деятельности</w:t>
            </w:r>
          </w:p>
        </w:tc>
      </w:tr>
      <w:tr w:rsidR="007B4230" w:rsidRPr="006D30B8" w:rsidTr="00BD4F78">
        <w:trPr>
          <w:trHeight w:val="4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Наличие/отсутствие в Договоре следующих комиссий, штрафных санкций:</w:t>
            </w: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- за организацию кредита;</w:t>
            </w: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- за неиспользование кредита/ части кредита по Договору; </w:t>
            </w: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- за осуществление досрочного погашения кредита/части кредита.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Отсутствие</w:t>
            </w:r>
          </w:p>
        </w:tc>
      </w:tr>
      <w:tr w:rsidR="007B4230" w:rsidRPr="006D30B8" w:rsidTr="00BD4F78">
        <w:trPr>
          <w:trHeight w:val="4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</w:t>
            </w:r>
            <w:r>
              <w:rPr>
                <w:bCs/>
                <w:sz w:val="20"/>
                <w:szCs w:val="20"/>
              </w:rPr>
              <w:t>6</w:t>
            </w:r>
            <w:r w:rsidRPr="009F432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Максимально допустимый размер процентной ставки (в процентах годовых).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both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6D30B8">
              <w:rPr>
                <w:bCs/>
                <w:sz w:val="20"/>
                <w:szCs w:val="20"/>
              </w:rPr>
              <w:t>более ключевой</w:t>
            </w:r>
            <w:proofErr w:type="gramEnd"/>
            <w:r w:rsidRPr="006D30B8">
              <w:rPr>
                <w:bCs/>
                <w:sz w:val="20"/>
                <w:szCs w:val="20"/>
              </w:rPr>
              <w:t xml:space="preserve"> ставки Банка России плюс </w:t>
            </w:r>
            <w:r w:rsidRPr="00035E85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,0</w:t>
            </w:r>
            <w:r w:rsidRPr="006D30B8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 xml:space="preserve">Два) </w:t>
            </w:r>
            <w:r w:rsidRPr="006D30B8">
              <w:rPr>
                <w:bCs/>
                <w:sz w:val="20"/>
                <w:szCs w:val="20"/>
              </w:rPr>
              <w:t>% годовых</w:t>
            </w:r>
          </w:p>
        </w:tc>
      </w:tr>
      <w:tr w:rsidR="007B4230" w:rsidRPr="006D30B8" w:rsidTr="00BD4F78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</w:t>
            </w:r>
            <w:r>
              <w:rPr>
                <w:bCs/>
                <w:sz w:val="20"/>
                <w:szCs w:val="20"/>
              </w:rPr>
              <w:t>7</w:t>
            </w:r>
            <w:r w:rsidRPr="009F432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Порядок формирования процентной ставки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/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Фиксированная</w:t>
            </w:r>
          </w:p>
        </w:tc>
      </w:tr>
      <w:tr w:rsidR="007B4230" w:rsidRPr="006D30B8" w:rsidTr="00BD4F78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</w:t>
            </w:r>
            <w:r>
              <w:rPr>
                <w:bCs/>
                <w:sz w:val="20"/>
                <w:szCs w:val="20"/>
              </w:rPr>
              <w:t>8</w:t>
            </w:r>
            <w:r w:rsidRPr="009F432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Обеспечение/ поручительство/ залог  по Договору (</w:t>
            </w:r>
            <w:proofErr w:type="gramStart"/>
            <w:r w:rsidRPr="006D30B8">
              <w:rPr>
                <w:bCs/>
                <w:sz w:val="20"/>
                <w:szCs w:val="20"/>
              </w:rPr>
              <w:t>есть</w:t>
            </w:r>
            <w:proofErr w:type="gramEnd"/>
            <w:r w:rsidRPr="006D30B8">
              <w:rPr>
                <w:bCs/>
                <w:sz w:val="20"/>
                <w:szCs w:val="20"/>
              </w:rPr>
              <w:t>/нет)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Нет</w:t>
            </w:r>
          </w:p>
        </w:tc>
      </w:tr>
      <w:tr w:rsidR="007B4230" w:rsidRPr="006D30B8" w:rsidTr="00BD4F78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881D44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881D44">
              <w:rPr>
                <w:bCs/>
                <w:sz w:val="20"/>
                <w:szCs w:val="20"/>
              </w:rPr>
              <w:t>1.9.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Возможность повышения ставки по кредиту при изменении конъюнктуры рынка, а также повышении ключевой ставки Банком России (да/нет)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D86B46" w:rsidP="00F11350">
            <w:pPr>
              <w:tabs>
                <w:tab w:val="left" w:pos="0"/>
              </w:tabs>
              <w:ind w:firstLine="56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Да, </w:t>
            </w:r>
            <w:r w:rsidR="007B4230" w:rsidRPr="006D30B8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="007B4230" w:rsidRPr="006D30B8">
              <w:rPr>
                <w:bCs/>
                <w:sz w:val="20"/>
                <w:szCs w:val="20"/>
              </w:rPr>
              <w:t>более ключевой</w:t>
            </w:r>
            <w:proofErr w:type="gramEnd"/>
            <w:r w:rsidR="007B4230" w:rsidRPr="006D30B8">
              <w:rPr>
                <w:bCs/>
                <w:sz w:val="20"/>
                <w:szCs w:val="20"/>
              </w:rPr>
              <w:t xml:space="preserve"> ставки Банка России плюс </w:t>
            </w:r>
            <w:r w:rsidR="007B4230" w:rsidRPr="00035E85">
              <w:rPr>
                <w:bCs/>
                <w:sz w:val="20"/>
                <w:szCs w:val="20"/>
              </w:rPr>
              <w:t>2</w:t>
            </w:r>
            <w:r w:rsidR="007B4230">
              <w:rPr>
                <w:bCs/>
                <w:sz w:val="20"/>
                <w:szCs w:val="20"/>
              </w:rPr>
              <w:t>,0</w:t>
            </w:r>
            <w:r w:rsidR="007B4230" w:rsidRPr="006D30B8">
              <w:rPr>
                <w:bCs/>
                <w:sz w:val="20"/>
                <w:szCs w:val="20"/>
              </w:rPr>
              <w:t xml:space="preserve"> (</w:t>
            </w:r>
            <w:r w:rsidR="007B4230">
              <w:rPr>
                <w:bCs/>
                <w:sz w:val="20"/>
                <w:szCs w:val="20"/>
              </w:rPr>
              <w:t xml:space="preserve">Два) </w:t>
            </w:r>
            <w:r w:rsidR="007B4230" w:rsidRPr="006D30B8">
              <w:rPr>
                <w:bCs/>
                <w:sz w:val="20"/>
                <w:szCs w:val="20"/>
              </w:rPr>
              <w:t>% годовых</w:t>
            </w:r>
          </w:p>
        </w:tc>
      </w:tr>
      <w:tr w:rsidR="007B4230" w:rsidRPr="006D30B8" w:rsidTr="00BD4F78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230" w:rsidRPr="00881D44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881D44">
              <w:rPr>
                <w:bCs/>
                <w:sz w:val="20"/>
                <w:szCs w:val="20"/>
              </w:rPr>
              <w:t>1.10.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Возможность снижения  ставки по кредиту при изменении конъюнктуры рынка, а также снижении ключевой ставки/ ставки рефинансирования Банком России (да/нет)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Да</w:t>
            </w:r>
          </w:p>
        </w:tc>
      </w:tr>
      <w:tr w:rsidR="007B4230" w:rsidRPr="006D30B8" w:rsidTr="00BD4F78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1.1</w:t>
            </w:r>
            <w:r>
              <w:rPr>
                <w:bCs/>
                <w:sz w:val="20"/>
                <w:szCs w:val="20"/>
              </w:rPr>
              <w:t>1</w:t>
            </w:r>
            <w:r w:rsidRPr="009F432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Возможность досрочного погашения денежных средств по Договору (да/нет)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Да</w:t>
            </w:r>
          </w:p>
        </w:tc>
      </w:tr>
      <w:tr w:rsidR="007B4230" w:rsidRPr="006D30B8" w:rsidTr="00BD4F78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1.1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Обязательства по поддержанию кредитового оборота по расчетному счету (да/нет)</w:t>
            </w:r>
            <w:r w:rsidRPr="006D30B8">
              <w:rPr>
                <w:bCs/>
                <w:sz w:val="20"/>
                <w:szCs w:val="20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Нет</w:t>
            </w: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both"/>
              <w:rPr>
                <w:bCs/>
                <w:sz w:val="20"/>
                <w:szCs w:val="20"/>
              </w:rPr>
            </w:pPr>
          </w:p>
        </w:tc>
      </w:tr>
      <w:tr w:rsidR="007B4230" w:rsidRPr="006D30B8" w:rsidTr="00BD4F78">
        <w:tc>
          <w:tcPr>
            <w:tcW w:w="993" w:type="dxa"/>
            <w:shd w:val="clear" w:color="auto" w:fill="auto"/>
          </w:tcPr>
          <w:p w:rsidR="007B4230" w:rsidRPr="009F432F" w:rsidRDefault="007B4230" w:rsidP="00304C34">
            <w:pPr>
              <w:widowControl w:val="0"/>
              <w:tabs>
                <w:tab w:val="left" w:pos="0"/>
                <w:tab w:val="left" w:pos="1134"/>
              </w:tabs>
              <w:autoSpaceDE w:val="0"/>
              <w:autoSpaceDN w:val="0"/>
              <w:spacing w:after="120"/>
              <w:jc w:val="center"/>
              <w:rPr>
                <w:sz w:val="20"/>
                <w:szCs w:val="20"/>
              </w:rPr>
            </w:pPr>
            <w:r w:rsidRPr="009F432F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3</w:t>
            </w:r>
            <w:r w:rsidRPr="009F432F">
              <w:rPr>
                <w:sz w:val="20"/>
                <w:szCs w:val="20"/>
              </w:rPr>
              <w:t>.</w:t>
            </w:r>
          </w:p>
        </w:tc>
        <w:tc>
          <w:tcPr>
            <w:tcW w:w="5386" w:type="dxa"/>
            <w:shd w:val="clear" w:color="auto" w:fill="auto"/>
          </w:tcPr>
          <w:p w:rsidR="007B4230" w:rsidRPr="006D30B8" w:rsidRDefault="007B4230" w:rsidP="00F11350">
            <w:pPr>
              <w:widowControl w:val="0"/>
              <w:tabs>
                <w:tab w:val="left" w:pos="0"/>
                <w:tab w:val="left" w:pos="1134"/>
              </w:tabs>
              <w:autoSpaceDE w:val="0"/>
              <w:autoSpaceDN w:val="0"/>
              <w:spacing w:after="120"/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Наличие </w:t>
            </w:r>
            <w:proofErr w:type="gramStart"/>
            <w:r w:rsidRPr="006D30B8">
              <w:rPr>
                <w:bCs/>
                <w:sz w:val="20"/>
                <w:szCs w:val="20"/>
              </w:rPr>
              <w:t>финансовых</w:t>
            </w:r>
            <w:proofErr w:type="gramEnd"/>
            <w:r w:rsidRPr="006D30B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30B8">
              <w:rPr>
                <w:bCs/>
                <w:sz w:val="20"/>
                <w:szCs w:val="20"/>
              </w:rPr>
              <w:t>ковенант</w:t>
            </w:r>
            <w:proofErr w:type="spellEnd"/>
            <w:r w:rsidRPr="006D30B8">
              <w:rPr>
                <w:bCs/>
                <w:sz w:val="20"/>
                <w:szCs w:val="20"/>
              </w:rPr>
              <w:t xml:space="preserve"> (да/нет)</w:t>
            </w:r>
          </w:p>
        </w:tc>
        <w:tc>
          <w:tcPr>
            <w:tcW w:w="3402" w:type="dxa"/>
            <w:shd w:val="clear" w:color="auto" w:fill="auto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Нет</w:t>
            </w:r>
          </w:p>
        </w:tc>
      </w:tr>
      <w:tr w:rsidR="007B4230" w:rsidRPr="006D30B8" w:rsidTr="00BD4F78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1.1</w:t>
            </w:r>
            <w:r>
              <w:rPr>
                <w:bCs/>
                <w:sz w:val="20"/>
                <w:szCs w:val="20"/>
              </w:rPr>
              <w:t>4</w:t>
            </w:r>
            <w:r w:rsidRPr="009F432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Прочие положения: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both"/>
              <w:rPr>
                <w:bCs/>
                <w:sz w:val="20"/>
                <w:szCs w:val="20"/>
              </w:rPr>
            </w:pP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а) Раскрытие информации о цепочке собственников, включая бенефициаров (в т.ч. конечных) с предоставлением подтверждающих документов и информации о каких-либо изменениях сведений в цепочке собственников, включая бенефициаров  (в т.ч. конечных) с предоставлением подтверждающих документов в течение 5 календарных дней </w:t>
            </w:r>
            <w:proofErr w:type="gramStart"/>
            <w:r w:rsidRPr="006D30B8">
              <w:rPr>
                <w:bCs/>
                <w:sz w:val="20"/>
                <w:szCs w:val="20"/>
              </w:rPr>
              <w:t>с даты</w:t>
            </w:r>
            <w:proofErr w:type="gramEnd"/>
            <w:r w:rsidRPr="006D30B8">
              <w:rPr>
                <w:bCs/>
                <w:sz w:val="20"/>
                <w:szCs w:val="20"/>
              </w:rPr>
              <w:t xml:space="preserve"> таких изменений (да/нет)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Да</w:t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881D44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both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б)  Возможность заключения соглашения о согласии Заемщика (заранее данном акцепте) списания денежных средств со счета Заемщика в целях погашения  задолженности перед Кредитором с расчетного (банковского) счета, открытого Заемщику в Банке Кредитора, либо включения данного условия в те</w:t>
            </w:r>
            <w:proofErr w:type="gramStart"/>
            <w:r w:rsidRPr="006D30B8">
              <w:rPr>
                <w:bCs/>
                <w:sz w:val="20"/>
                <w:szCs w:val="20"/>
              </w:rPr>
              <w:t>кст кр</w:t>
            </w:r>
            <w:proofErr w:type="gramEnd"/>
            <w:r w:rsidRPr="006D30B8">
              <w:rPr>
                <w:bCs/>
                <w:sz w:val="20"/>
                <w:szCs w:val="20"/>
              </w:rPr>
              <w:t>едитного договора (да/нет)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Да</w:t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881D44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в)  Возможность заключения соглашения о согласии (заранее данном акцепте) списания денежных средств со счета Заемщика в целях погашения  задолженности перед Кредитором с расчетных (банковских) счетов, открытых Заемщику в прочих Банках, либо включения данного условия в текст кредитного договора</w:t>
            </w:r>
            <w:proofErr w:type="gramStart"/>
            <w:r w:rsidRPr="006D30B8">
              <w:rPr>
                <w:bCs/>
                <w:sz w:val="20"/>
                <w:szCs w:val="20"/>
              </w:rPr>
              <w:t>.</w:t>
            </w:r>
            <w:proofErr w:type="gramEnd"/>
            <w:r w:rsidRPr="006D30B8">
              <w:rPr>
                <w:bCs/>
                <w:sz w:val="20"/>
                <w:szCs w:val="20"/>
              </w:rPr>
              <w:t xml:space="preserve"> (</w:t>
            </w:r>
            <w:proofErr w:type="gramStart"/>
            <w:r w:rsidRPr="006D30B8">
              <w:rPr>
                <w:bCs/>
                <w:sz w:val="20"/>
                <w:szCs w:val="20"/>
              </w:rPr>
              <w:t>е</w:t>
            </w:r>
            <w:proofErr w:type="gramEnd"/>
            <w:r w:rsidRPr="006D30B8">
              <w:rPr>
                <w:bCs/>
                <w:sz w:val="20"/>
                <w:szCs w:val="20"/>
              </w:rPr>
              <w:t>сть/нет)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Нет</w:t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9F432F">
              <w:rPr>
                <w:bCs/>
                <w:sz w:val="20"/>
                <w:szCs w:val="20"/>
              </w:rPr>
              <w:t>1.1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Суммарный размер процентов за пользование кредитом, рассчитанный из максимально допустимой процентной ставки, установленной в п.1.6 настоящего технического 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Не более </w:t>
            </w:r>
            <w:r>
              <w:rPr>
                <w:bCs/>
                <w:sz w:val="20"/>
                <w:szCs w:val="20"/>
              </w:rPr>
              <w:t>132</w:t>
            </w:r>
            <w:r w:rsidRPr="006D30B8">
              <w:rPr>
                <w:bCs/>
                <w:sz w:val="20"/>
                <w:szCs w:val="20"/>
              </w:rPr>
              <w:t xml:space="preserve"> 000 000 </w:t>
            </w: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 xml:space="preserve">Сто тридцать два </w:t>
            </w:r>
            <w:r w:rsidRPr="006D30B8">
              <w:rPr>
                <w:bCs/>
                <w:sz w:val="20"/>
                <w:szCs w:val="20"/>
              </w:rPr>
              <w:t>миллион</w:t>
            </w:r>
            <w:r>
              <w:rPr>
                <w:bCs/>
                <w:sz w:val="20"/>
                <w:szCs w:val="20"/>
              </w:rPr>
              <w:t>а</w:t>
            </w:r>
            <w:r w:rsidRPr="006D30B8">
              <w:rPr>
                <w:bCs/>
                <w:sz w:val="20"/>
                <w:szCs w:val="20"/>
              </w:rPr>
              <w:t>) рублей</w:t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Проект договора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Участник вправе предложить свой вариант договора (соглашения), соответствующий условиям Технического задания.</w:t>
            </w:r>
          </w:p>
        </w:tc>
      </w:tr>
      <w:tr w:rsidR="007B4230" w:rsidRPr="00C07B7C" w:rsidTr="00BD4F7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График оказания услуг</w:t>
            </w:r>
          </w:p>
        </w:tc>
        <w:tc>
          <w:tcPr>
            <w:tcW w:w="3402" w:type="dxa"/>
          </w:tcPr>
          <w:p w:rsidR="007B4230" w:rsidRPr="00BF218B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sz w:val="20"/>
                <w:szCs w:val="20"/>
              </w:rPr>
            </w:pPr>
            <w:r w:rsidRPr="00BF218B">
              <w:rPr>
                <w:sz w:val="20"/>
                <w:szCs w:val="20"/>
              </w:rPr>
              <w:t>Начало оказания услуг-с момента подписания договора</w:t>
            </w:r>
          </w:p>
          <w:p w:rsidR="007B4230" w:rsidRPr="00C07B7C" w:rsidRDefault="007B4230" w:rsidP="00D86B46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BF218B">
              <w:rPr>
                <w:sz w:val="20"/>
                <w:szCs w:val="20"/>
              </w:rPr>
              <w:t>Окончание оказания услуг-</w:t>
            </w:r>
            <w:r>
              <w:rPr>
                <w:sz w:val="20"/>
                <w:szCs w:val="20"/>
              </w:rPr>
              <w:t xml:space="preserve"> 36 </w:t>
            </w:r>
            <w:r w:rsidRPr="00BF218B">
              <w:rPr>
                <w:sz w:val="20"/>
                <w:szCs w:val="20"/>
              </w:rPr>
              <w:t xml:space="preserve">месяцев </w:t>
            </w:r>
            <w:proofErr w:type="gramStart"/>
            <w:r w:rsidRPr="00BF218B">
              <w:rPr>
                <w:sz w:val="20"/>
                <w:szCs w:val="20"/>
              </w:rPr>
              <w:t xml:space="preserve">с даты </w:t>
            </w:r>
            <w:r w:rsidR="00D86B46">
              <w:rPr>
                <w:sz w:val="20"/>
                <w:szCs w:val="20"/>
              </w:rPr>
              <w:t>подписания</w:t>
            </w:r>
            <w:proofErr w:type="gramEnd"/>
            <w:r w:rsidR="00D86B46">
              <w:rPr>
                <w:sz w:val="20"/>
                <w:szCs w:val="20"/>
              </w:rPr>
              <w:t xml:space="preserve"> договора</w:t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1.18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По финансовой услуге возможно несколько победителей</w:t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9F432F" w:rsidRDefault="007B4230" w:rsidP="00304C34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</w:p>
          <w:p w:rsidR="007B4230" w:rsidRPr="006D30B8" w:rsidRDefault="007B4230" w:rsidP="00F11350">
            <w:pPr>
              <w:tabs>
                <w:tab w:val="left" w:pos="0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Открытие расчетного счета при выдаче кредитных ресурсов (в валюте РФ) с предоставлением услуги по дистанционному банковскому обслуживанию с использованием системы Банк-Клиент</w:t>
            </w:r>
          </w:p>
        </w:tc>
        <w:tc>
          <w:tcPr>
            <w:tcW w:w="3402" w:type="dxa"/>
            <w:vAlign w:val="center"/>
          </w:tcPr>
          <w:p w:rsidR="007B4230" w:rsidRPr="006D30B8" w:rsidRDefault="007B4230" w:rsidP="00F11350">
            <w:pPr>
              <w:tabs>
                <w:tab w:val="left" w:pos="0"/>
              </w:tabs>
              <w:ind w:firstLine="56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требованию участника</w:t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16001D" w:rsidRDefault="007B4230" w:rsidP="00304C34">
            <w:pPr>
              <w:jc w:val="center"/>
              <w:rPr>
                <w:bCs/>
                <w:sz w:val="18"/>
                <w:szCs w:val="18"/>
              </w:rPr>
            </w:pPr>
            <w:r w:rsidRPr="0016001D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18"/>
                <w:szCs w:val="18"/>
              </w:rPr>
            </w:pPr>
            <w:r w:rsidRPr="006D30B8">
              <w:rPr>
                <w:sz w:val="18"/>
                <w:szCs w:val="18"/>
              </w:rPr>
              <w:t>Договор банковского (расчетного) счета в валюте Российской Федерации</w:t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0B1D76" w:rsidRDefault="007B4230" w:rsidP="00304C34">
            <w:pPr>
              <w:jc w:val="center"/>
              <w:rPr>
                <w:bCs/>
                <w:sz w:val="20"/>
                <w:szCs w:val="20"/>
              </w:rPr>
            </w:pPr>
            <w:r w:rsidRPr="000B1D76">
              <w:rPr>
                <w:bCs/>
                <w:sz w:val="20"/>
                <w:szCs w:val="20"/>
              </w:rPr>
              <w:t>2.1.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Открытие банковского (расчетного) счета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sz w:val="18"/>
                <w:szCs w:val="18"/>
              </w:rPr>
              <w:t xml:space="preserve">Не более </w:t>
            </w:r>
            <w:r w:rsidR="007A535A">
              <w:rPr>
                <w:sz w:val="18"/>
                <w:szCs w:val="18"/>
              </w:rPr>
              <w:t>1 2</w:t>
            </w:r>
            <w:r w:rsidRPr="006D30B8">
              <w:rPr>
                <w:sz w:val="18"/>
                <w:szCs w:val="18"/>
              </w:rPr>
              <w:t>00 руб.</w:t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both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Ведение банковского (расчетного) счета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Без комиссии</w:t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tabs>
                <w:tab w:val="left" w:pos="463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Закрытие банковского (расчетного) счета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Без комиссии</w:t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  <w:r w:rsidRPr="00562EF0">
              <w:rPr>
                <w:bCs/>
                <w:sz w:val="20"/>
                <w:szCs w:val="20"/>
              </w:rPr>
              <w:t>2.2.</w:t>
            </w:r>
          </w:p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tabs>
                <w:tab w:val="left" w:pos="463"/>
              </w:tabs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Зачисление денежных средств на банковский (расчетный) счет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Без комиссии</w:t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  <w:r w:rsidRPr="00562EF0">
              <w:rPr>
                <w:bCs/>
                <w:sz w:val="20"/>
                <w:szCs w:val="20"/>
              </w:rPr>
              <w:t>2.3.</w:t>
            </w:r>
          </w:p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Перевод денежных средств внутри Кредитной организации/ Банка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Без комиссии</w:t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Перевод денежных сре</w:t>
            </w:r>
            <w:proofErr w:type="gramStart"/>
            <w:r w:rsidRPr="006D30B8">
              <w:rPr>
                <w:bCs/>
                <w:sz w:val="20"/>
                <w:szCs w:val="20"/>
              </w:rPr>
              <w:t>дств с пр</w:t>
            </w:r>
            <w:proofErr w:type="gramEnd"/>
            <w:r w:rsidRPr="006D30B8">
              <w:rPr>
                <w:bCs/>
                <w:sz w:val="20"/>
                <w:szCs w:val="20"/>
              </w:rPr>
              <w:t>едоставлением платежных инструкций через систему электронного проведения платежей на счет в другой (ом) Кредитной организации/ Банке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Не более 17 руб. за 1 платеж </w:t>
            </w:r>
            <w:r w:rsidRPr="006D30B8">
              <w:rPr>
                <w:bCs/>
                <w:sz w:val="20"/>
                <w:szCs w:val="20"/>
              </w:rPr>
              <w:br/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Проведение расследований по суммам в валюте РФ</w:t>
            </w:r>
          </w:p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Не более 100 руб.</w:t>
            </w:r>
            <w:r w:rsidRPr="006D30B8">
              <w:rPr>
                <w:bCs/>
                <w:sz w:val="20"/>
                <w:szCs w:val="20"/>
              </w:rPr>
              <w:br/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Оформление Кредитной организацией/ Банком платежного (расчетного) документа на перечисление денежных сре</w:t>
            </w:r>
            <w:proofErr w:type="gramStart"/>
            <w:r w:rsidRPr="006D30B8">
              <w:rPr>
                <w:bCs/>
                <w:sz w:val="20"/>
                <w:szCs w:val="20"/>
              </w:rPr>
              <w:t>дств с б</w:t>
            </w:r>
            <w:proofErr w:type="gramEnd"/>
            <w:r w:rsidRPr="006D30B8">
              <w:rPr>
                <w:bCs/>
                <w:sz w:val="20"/>
                <w:szCs w:val="20"/>
              </w:rPr>
              <w:t>анковского (расчетного) счета Клиента на основании доверенности, выданной Клиентом, в случаях, предусмотренных договором банковского (расчетного) счета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Не более 100 руб. за 1 документ</w:t>
            </w:r>
            <w:r w:rsidRPr="006D30B8">
              <w:rPr>
                <w:bCs/>
                <w:sz w:val="20"/>
                <w:szCs w:val="20"/>
              </w:rPr>
              <w:br/>
            </w:r>
            <w:r w:rsidRPr="006D30B8">
              <w:rPr>
                <w:bCs/>
                <w:sz w:val="20"/>
                <w:szCs w:val="20"/>
              </w:rPr>
              <w:br/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  <w:r w:rsidRPr="00562EF0">
              <w:rPr>
                <w:bCs/>
                <w:sz w:val="20"/>
                <w:szCs w:val="20"/>
              </w:rPr>
              <w:t>2.4.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Выдача выписки по банковскому (расчетному) счету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Без комиссии</w:t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Выдача дубликата выписки по банковскому (расчетному) счету, дубликата платежного (расчетного)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Не более 150 </w:t>
            </w:r>
            <w:proofErr w:type="spellStart"/>
            <w:r w:rsidRPr="006D30B8">
              <w:rPr>
                <w:bCs/>
                <w:sz w:val="20"/>
                <w:szCs w:val="20"/>
              </w:rPr>
              <w:t>руб</w:t>
            </w:r>
            <w:proofErr w:type="spellEnd"/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Выдача копии выписки по банковскому (расчетному) счету, копии платежного (расчетного)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комиссия не взимается</w:t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Выдача справки в связи с запросом аудиторов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Не более 500 </w:t>
            </w:r>
            <w:proofErr w:type="spellStart"/>
            <w:r w:rsidRPr="006D30B8">
              <w:rPr>
                <w:bCs/>
                <w:sz w:val="20"/>
                <w:szCs w:val="20"/>
              </w:rPr>
              <w:t>руб</w:t>
            </w:r>
            <w:proofErr w:type="spellEnd"/>
            <w:r w:rsidRPr="006D30B8">
              <w:rPr>
                <w:bCs/>
                <w:sz w:val="20"/>
                <w:szCs w:val="20"/>
              </w:rPr>
              <w:br/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Другие справки по ведению банковского (расчетного) счета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Не более 200 </w:t>
            </w:r>
            <w:proofErr w:type="spellStart"/>
            <w:r w:rsidRPr="006D30B8">
              <w:rPr>
                <w:bCs/>
                <w:sz w:val="20"/>
                <w:szCs w:val="20"/>
              </w:rPr>
              <w:t>руб</w:t>
            </w:r>
            <w:proofErr w:type="spellEnd"/>
            <w:r w:rsidRPr="006D30B8">
              <w:rPr>
                <w:bCs/>
                <w:sz w:val="20"/>
                <w:szCs w:val="20"/>
              </w:rPr>
              <w:br/>
            </w:r>
          </w:p>
        </w:tc>
      </w:tr>
      <w:tr w:rsidR="007B4230" w:rsidRPr="006D30B8" w:rsidTr="00BD4F78">
        <w:trPr>
          <w:trHeight w:val="46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304C34">
            <w:pPr>
              <w:jc w:val="center"/>
              <w:rPr>
                <w:bCs/>
                <w:sz w:val="20"/>
                <w:szCs w:val="20"/>
              </w:rPr>
            </w:pPr>
            <w:r w:rsidRPr="00562EF0">
              <w:rPr>
                <w:bCs/>
                <w:sz w:val="20"/>
                <w:szCs w:val="20"/>
              </w:rPr>
              <w:t>2.5.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Предоставление программного обеспечения АРМ «Клиента» системы «Клиент-Банк» без выезда специалиста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6D30B8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Не более 1 500 руб.</w:t>
            </w:r>
            <w:r w:rsidRPr="006D30B8">
              <w:rPr>
                <w:bCs/>
                <w:sz w:val="20"/>
                <w:szCs w:val="20"/>
              </w:rPr>
              <w:br/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Предоставление программного обеспечения АРМ «Клиента» системы «Клиент-Банк» с выездом специалиста, при наличии возможности у Кредитной организации/ Банка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Не более 1 500 руб.</w:t>
            </w:r>
            <w:r w:rsidRPr="006D30B8">
              <w:rPr>
                <w:bCs/>
                <w:sz w:val="20"/>
                <w:szCs w:val="20"/>
              </w:rPr>
              <w:br/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Выезд специалиста для переустановки, обновления и восстановления АРМ «Клиента» системы «Клиент-Банк» на компьютере Клиента, при наличии возможности у Кредитной организации/ Банка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Не более 1 500 руб.</w:t>
            </w:r>
            <w:r w:rsidRPr="006D30B8">
              <w:rPr>
                <w:bCs/>
                <w:sz w:val="20"/>
                <w:szCs w:val="20"/>
              </w:rPr>
              <w:br/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Предоставление обновления АРМ «Клиента» системы «Клиент-Банк»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Без комиссии</w:t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Ежемесячная плата за обслуживание с использованием системы «Клиент-Банк»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 xml:space="preserve">Не более </w:t>
            </w:r>
            <w:r>
              <w:rPr>
                <w:bCs/>
                <w:sz w:val="20"/>
                <w:szCs w:val="20"/>
              </w:rPr>
              <w:t>3</w:t>
            </w:r>
            <w:r w:rsidRPr="006D30B8">
              <w:rPr>
                <w:bCs/>
                <w:sz w:val="20"/>
                <w:szCs w:val="20"/>
              </w:rPr>
              <w:t>00 руб.</w:t>
            </w:r>
          </w:p>
        </w:tc>
      </w:tr>
      <w:tr w:rsidR="007B4230" w:rsidRPr="00562EF0" w:rsidTr="00BD4F78">
        <w:trPr>
          <w:trHeight w:val="46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Выдача сертификата ключа подписи в связи с его внеплановой заменой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30" w:rsidRPr="00562EF0" w:rsidRDefault="007B4230" w:rsidP="00F11350">
            <w:pPr>
              <w:ind w:firstLine="567"/>
              <w:jc w:val="center"/>
              <w:rPr>
                <w:bCs/>
                <w:sz w:val="20"/>
                <w:szCs w:val="20"/>
              </w:rPr>
            </w:pPr>
            <w:r w:rsidRPr="006D30B8">
              <w:rPr>
                <w:bCs/>
                <w:sz w:val="20"/>
                <w:szCs w:val="20"/>
              </w:rPr>
              <w:t>Без комиссии</w:t>
            </w:r>
          </w:p>
        </w:tc>
      </w:tr>
    </w:tbl>
    <w:p w:rsidR="00D61C2D" w:rsidRPr="00134849" w:rsidRDefault="00D61C2D" w:rsidP="00F11350">
      <w:pPr>
        <w:tabs>
          <w:tab w:val="left" w:pos="709"/>
        </w:tabs>
        <w:autoSpaceDE w:val="0"/>
        <w:autoSpaceDN w:val="0"/>
        <w:adjustRightInd w:val="0"/>
        <w:spacing w:after="160"/>
        <w:ind w:firstLine="567"/>
        <w:jc w:val="both"/>
      </w:pPr>
    </w:p>
    <w:p w:rsidR="00F3510A" w:rsidRPr="00134849" w:rsidRDefault="00F3510A" w:rsidP="00F11350">
      <w:pPr>
        <w:autoSpaceDE w:val="0"/>
        <w:autoSpaceDN w:val="0"/>
        <w:adjustRightInd w:val="0"/>
        <w:spacing w:after="160"/>
        <w:ind w:firstLine="567"/>
        <w:jc w:val="both"/>
      </w:pPr>
      <w:r w:rsidRPr="00134849">
        <w:t>5. ТРЕБОВАНИЯ К УЧАСТНИКАМ ЗАКУПКИ (ИСПОЛНИТЕЛ</w:t>
      </w:r>
      <w:r>
        <w:t>ЯМ</w:t>
      </w:r>
      <w:r w:rsidRPr="00134849">
        <w:t>)</w:t>
      </w:r>
    </w:p>
    <w:p w:rsidR="00B50B02" w:rsidRDefault="00F3510A" w:rsidP="00F11350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5.1. Требования о наличии </w:t>
      </w:r>
      <w:r w:rsidRPr="00134849">
        <w:rPr>
          <w:rFonts w:eastAsiaTheme="minorHAnsi"/>
          <w:lang w:eastAsia="en-US"/>
        </w:rPr>
        <w:t>кадровы</w:t>
      </w:r>
      <w:r>
        <w:rPr>
          <w:rFonts w:eastAsiaTheme="minorHAnsi"/>
          <w:lang w:eastAsia="en-US"/>
        </w:rPr>
        <w:t>х</w:t>
      </w:r>
      <w:r w:rsidRPr="00134849">
        <w:rPr>
          <w:rFonts w:eastAsiaTheme="minorHAnsi"/>
          <w:lang w:eastAsia="en-US"/>
        </w:rPr>
        <w:t xml:space="preserve"> ресурс</w:t>
      </w:r>
      <w:r>
        <w:rPr>
          <w:rFonts w:eastAsiaTheme="minorHAnsi"/>
          <w:lang w:eastAsia="en-US"/>
        </w:rPr>
        <w:t>ов и их квалификации</w:t>
      </w:r>
      <w:r w:rsidR="007B4230">
        <w:rPr>
          <w:rFonts w:eastAsiaTheme="minorHAnsi"/>
          <w:lang w:eastAsia="en-US"/>
        </w:rPr>
        <w:t>:</w:t>
      </w:r>
    </w:p>
    <w:p w:rsidR="007B4230" w:rsidRPr="00134849" w:rsidRDefault="007B4230" w:rsidP="00F11350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</w:t>
      </w:r>
      <w:r w:rsidR="00F3510A" w:rsidRPr="00134849">
        <w:rPr>
          <w:rFonts w:eastAsiaTheme="minorHAnsi"/>
          <w:lang w:eastAsia="en-US"/>
        </w:rPr>
        <w:t xml:space="preserve"> </w:t>
      </w:r>
    </w:p>
    <w:p w:rsidR="00B50B02" w:rsidRDefault="00F3510A" w:rsidP="00F11350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 w:rsidRPr="00134849">
        <w:rPr>
          <w:rFonts w:eastAsiaTheme="minorHAnsi"/>
          <w:lang w:eastAsia="en-US"/>
        </w:rPr>
        <w:t xml:space="preserve">5.2. Требования </w:t>
      </w:r>
      <w:r>
        <w:rPr>
          <w:rFonts w:eastAsiaTheme="minorHAnsi"/>
          <w:lang w:eastAsia="en-US"/>
        </w:rPr>
        <w:t>о наличии</w:t>
      </w:r>
      <w:r w:rsidRPr="00134849">
        <w:rPr>
          <w:rFonts w:eastAsiaTheme="minorHAnsi"/>
          <w:lang w:eastAsia="en-US"/>
        </w:rPr>
        <w:t xml:space="preserve"> материально-технически</w:t>
      </w:r>
      <w:r>
        <w:rPr>
          <w:rFonts w:eastAsiaTheme="minorHAnsi"/>
          <w:lang w:eastAsia="en-US"/>
        </w:rPr>
        <w:t>х</w:t>
      </w:r>
      <w:r w:rsidRPr="00134849">
        <w:rPr>
          <w:rFonts w:eastAsiaTheme="minorHAnsi"/>
          <w:lang w:eastAsia="en-US"/>
        </w:rPr>
        <w:t xml:space="preserve"> ресурс</w:t>
      </w:r>
      <w:r>
        <w:rPr>
          <w:rFonts w:eastAsiaTheme="minorHAnsi"/>
          <w:lang w:eastAsia="en-US"/>
        </w:rPr>
        <w:t>ов</w:t>
      </w:r>
      <w:r w:rsidR="00B50B02">
        <w:rPr>
          <w:rFonts w:eastAsiaTheme="minorHAnsi"/>
          <w:lang w:eastAsia="en-US"/>
        </w:rPr>
        <w:t>:</w:t>
      </w:r>
    </w:p>
    <w:p w:rsidR="007B4230" w:rsidRPr="00134849" w:rsidRDefault="007B4230" w:rsidP="00F11350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</w:t>
      </w:r>
      <w:r w:rsidR="00F3510A" w:rsidRPr="00134849">
        <w:rPr>
          <w:rFonts w:eastAsiaTheme="minorHAnsi"/>
          <w:lang w:eastAsia="en-US"/>
        </w:rPr>
        <w:t xml:space="preserve"> </w:t>
      </w:r>
    </w:p>
    <w:p w:rsidR="00B50B02" w:rsidRDefault="00F3510A" w:rsidP="00F11350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 w:rsidRPr="00134849">
        <w:rPr>
          <w:rFonts w:eastAsiaTheme="minorHAnsi"/>
          <w:lang w:eastAsia="en-US"/>
        </w:rPr>
        <w:t>5.3. Требования к измерительным приборам и инструментам</w:t>
      </w:r>
      <w:r w:rsidR="00B50B02">
        <w:rPr>
          <w:rFonts w:eastAsiaTheme="minorHAnsi"/>
          <w:lang w:eastAsia="en-US"/>
        </w:rPr>
        <w:t>:</w:t>
      </w:r>
    </w:p>
    <w:p w:rsidR="00F3510A" w:rsidRPr="00134849" w:rsidRDefault="007B4230" w:rsidP="00F11350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</w:t>
      </w:r>
    </w:p>
    <w:p w:rsidR="00F3510A" w:rsidRDefault="00F3510A" w:rsidP="00F11350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5.4</w:t>
      </w:r>
      <w:r w:rsidRPr="00134849">
        <w:rPr>
          <w:rFonts w:eastAsiaTheme="minorHAnsi"/>
          <w:lang w:eastAsia="en-US"/>
        </w:rPr>
        <w:t>. Требования о наличии действующих разрешений, аттестаций, свидетельств СРО, лицензий</w:t>
      </w:r>
    </w:p>
    <w:p w:rsidR="00B50186" w:rsidRPr="00DF7C7F" w:rsidRDefault="00B50186" w:rsidP="00F11350">
      <w:pPr>
        <w:pStyle w:val="19"/>
        <w:shd w:val="clear" w:color="auto" w:fill="auto"/>
        <w:spacing w:line="254" w:lineRule="exact"/>
        <w:ind w:firstLine="567"/>
        <w:rPr>
          <w:rStyle w:val="16"/>
          <w:sz w:val="24"/>
          <w:szCs w:val="24"/>
        </w:rPr>
      </w:pPr>
      <w:r w:rsidRPr="00DF7C7F">
        <w:rPr>
          <w:rStyle w:val="16"/>
          <w:sz w:val="24"/>
          <w:szCs w:val="24"/>
        </w:rPr>
        <w:t xml:space="preserve">Участник закупки должен обладать действующей генеральной лицензией Банка России  на осуществление банковских услуг и банковских операций </w:t>
      </w:r>
      <w:r w:rsidRPr="00DF7C7F">
        <w:rPr>
          <w:rFonts w:eastAsiaTheme="minorHAnsi"/>
          <w:sz w:val="24"/>
          <w:szCs w:val="24"/>
        </w:rPr>
        <w:t>(предоставить копию лицензии).</w:t>
      </w:r>
    </w:p>
    <w:p w:rsidR="0070530E" w:rsidRDefault="0070530E" w:rsidP="00F11350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</w:p>
    <w:p w:rsidR="00B50B02" w:rsidRDefault="00F3510A" w:rsidP="00F11350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 w:rsidRPr="00134849">
        <w:rPr>
          <w:rFonts w:eastAsiaTheme="minorHAnsi"/>
          <w:lang w:eastAsia="en-US"/>
        </w:rPr>
        <w:t>5.</w:t>
      </w:r>
      <w:r>
        <w:rPr>
          <w:rFonts w:eastAsiaTheme="minorHAnsi"/>
          <w:lang w:eastAsia="en-US"/>
        </w:rPr>
        <w:t>5</w:t>
      </w:r>
      <w:r w:rsidRPr="00134849">
        <w:rPr>
          <w:rFonts w:eastAsiaTheme="minorHAnsi"/>
          <w:lang w:eastAsia="en-US"/>
        </w:rPr>
        <w:t>. Требования о наличии сертифицированных систем менеджмента</w:t>
      </w:r>
      <w:r w:rsidR="00B50186">
        <w:rPr>
          <w:rFonts w:eastAsiaTheme="minorHAnsi"/>
          <w:lang w:eastAsia="en-US"/>
        </w:rPr>
        <w:t>:</w:t>
      </w:r>
    </w:p>
    <w:p w:rsidR="00F3510A" w:rsidRPr="00134849" w:rsidRDefault="00B50186" w:rsidP="00F11350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</w:t>
      </w:r>
    </w:p>
    <w:p w:rsidR="0070530E" w:rsidRDefault="0070530E" w:rsidP="00F11350">
      <w:pPr>
        <w:tabs>
          <w:tab w:val="left" w:pos="0"/>
        </w:tabs>
        <w:autoSpaceDE w:val="0"/>
        <w:autoSpaceDN w:val="0"/>
        <w:ind w:firstLine="567"/>
        <w:jc w:val="both"/>
      </w:pPr>
      <w:r>
        <w:rPr>
          <w:rFonts w:eastAsiaTheme="minorHAnsi"/>
          <w:lang w:eastAsia="en-US"/>
        </w:rPr>
        <w:t xml:space="preserve">5.6. </w:t>
      </w:r>
      <w:r w:rsidRPr="00232219">
        <w:t>Требования о наличии аккредитации в Группе «Интер РАО»</w:t>
      </w:r>
      <w:r>
        <w:t xml:space="preserve"> </w:t>
      </w:r>
    </w:p>
    <w:p w:rsidR="000C2650" w:rsidRDefault="000C2650" w:rsidP="00F11350">
      <w:pPr>
        <w:tabs>
          <w:tab w:val="left" w:pos="0"/>
        </w:tabs>
        <w:autoSpaceDE w:val="0"/>
        <w:autoSpaceDN w:val="0"/>
        <w:ind w:firstLine="567"/>
        <w:jc w:val="both"/>
      </w:pPr>
    </w:p>
    <w:p w:rsidR="000C2650" w:rsidRPr="00232219" w:rsidRDefault="000C2650" w:rsidP="00F11350">
      <w:pPr>
        <w:tabs>
          <w:tab w:val="left" w:pos="851"/>
        </w:tabs>
        <w:autoSpaceDE w:val="0"/>
        <w:autoSpaceDN w:val="0"/>
        <w:ind w:firstLine="567"/>
        <w:jc w:val="both"/>
      </w:pPr>
      <w:r>
        <w:t>Приветствуется наличие аккредитации. У</w:t>
      </w:r>
      <w:r w:rsidRPr="007D334F">
        <w:t xml:space="preserve">частники закупки, имеющие аккредитацию в Группе «Интер РАО» в качестве поставщиков услуг </w:t>
      </w:r>
      <w:r w:rsidRPr="00443A3F">
        <w:t>в области финансов</w:t>
      </w:r>
      <w:r>
        <w:t>ых услуг</w:t>
      </w:r>
      <w:r w:rsidRPr="007D334F">
        <w:t>, должны приложить копию действующего Свидетельства</w:t>
      </w:r>
      <w:r>
        <w:t xml:space="preserve"> об аккредитации</w:t>
      </w:r>
      <w:r w:rsidRPr="007D334F">
        <w:t>.</w:t>
      </w:r>
    </w:p>
    <w:p w:rsidR="0070530E" w:rsidRDefault="0070530E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B50186" w:rsidRDefault="00B50186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232219">
        <w:rPr>
          <w:rFonts w:eastAsiaTheme="minorHAnsi"/>
          <w:lang w:eastAsia="en-US"/>
        </w:rPr>
        <w:t>5.7. Требования к опыту оказания аналогичных услуг</w:t>
      </w:r>
    </w:p>
    <w:p w:rsidR="00B50186" w:rsidRDefault="00B50186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</w:t>
      </w:r>
      <w:r w:rsidR="000C2650">
        <w:rPr>
          <w:rFonts w:eastAsiaTheme="minorHAnsi"/>
          <w:lang w:eastAsia="en-US"/>
        </w:rPr>
        <w:t>открытых конкурентных переговорах</w:t>
      </w:r>
      <w:r>
        <w:rPr>
          <w:rFonts w:eastAsiaTheme="minorHAnsi"/>
          <w:lang w:eastAsia="en-US"/>
        </w:rPr>
        <w:t xml:space="preserve"> может принять участие любой банк/кредитная организация/финансовая организация независимо от организационно-правовой формы, формы собственности, места нахождения.</w:t>
      </w:r>
    </w:p>
    <w:p w:rsidR="00B50186" w:rsidRDefault="00B50186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76BC2">
        <w:rPr>
          <w:rFonts w:eastAsiaTheme="minorHAnsi"/>
          <w:lang w:eastAsia="en-US"/>
        </w:rPr>
        <w:t xml:space="preserve">Приветствуется опыт оказания аналогичных услуг компаниям </w:t>
      </w:r>
      <w:r>
        <w:rPr>
          <w:rFonts w:eastAsiaTheme="minorHAnsi"/>
          <w:lang w:eastAsia="en-US"/>
        </w:rPr>
        <w:t>Г</w:t>
      </w:r>
      <w:r w:rsidRPr="00D76BC2">
        <w:rPr>
          <w:rFonts w:eastAsiaTheme="minorHAnsi"/>
          <w:lang w:eastAsia="en-US"/>
        </w:rPr>
        <w:t>руппы «Интер РАО».</w:t>
      </w:r>
    </w:p>
    <w:p w:rsidR="000C2650" w:rsidRDefault="000C2650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B50186" w:rsidRDefault="00B50186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t>5</w:t>
      </w:r>
      <w:r w:rsidRPr="00232219">
        <w:t>.8. Требования к опыту поставки аналогичных товаров</w:t>
      </w:r>
    </w:p>
    <w:p w:rsidR="00B50186" w:rsidRDefault="00B50186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t>Не требуется.</w:t>
      </w:r>
    </w:p>
    <w:p w:rsidR="000C2650" w:rsidRDefault="000C2650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50186" w:rsidRDefault="00B50186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134849">
        <w:t>5.</w:t>
      </w:r>
      <w:r>
        <w:t>9</w:t>
      </w:r>
      <w:r w:rsidRPr="00134849">
        <w:t>. Требования к суб</w:t>
      </w:r>
      <w:r>
        <w:t>подрядным организациям</w:t>
      </w:r>
      <w:r w:rsidRPr="00134849">
        <w:t xml:space="preserve"> </w:t>
      </w:r>
    </w:p>
    <w:p w:rsidR="00B50186" w:rsidRDefault="00B50186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t>Не требуется.</w:t>
      </w:r>
    </w:p>
    <w:p w:rsidR="000C2650" w:rsidRPr="00134849" w:rsidRDefault="000C2650" w:rsidP="00F11350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F3510A" w:rsidRPr="00134849" w:rsidRDefault="00F3510A" w:rsidP="00F11350">
      <w:pPr>
        <w:autoSpaceDE w:val="0"/>
        <w:autoSpaceDN w:val="0"/>
        <w:adjustRightInd w:val="0"/>
        <w:spacing w:after="160"/>
        <w:ind w:firstLine="567"/>
        <w:jc w:val="both"/>
      </w:pPr>
      <w:r w:rsidRPr="00134849">
        <w:t>6. ПРИЛОЖЕНИЯ К ТЗ</w:t>
      </w:r>
    </w:p>
    <w:p w:rsidR="00B50186" w:rsidRPr="00B50186" w:rsidRDefault="00B50186" w:rsidP="00F11350">
      <w:pPr>
        <w:pStyle w:val="a3"/>
        <w:tabs>
          <w:tab w:val="left" w:pos="0"/>
        </w:tabs>
        <w:spacing w:after="160"/>
        <w:ind w:left="0" w:firstLine="567"/>
      </w:pPr>
      <w:r w:rsidRPr="00B50186">
        <w:t>Проект кредитного договора.</w:t>
      </w:r>
    </w:p>
    <w:p w:rsidR="00F3510A" w:rsidRPr="00134849" w:rsidRDefault="00F3510A" w:rsidP="00F11350">
      <w:pPr>
        <w:pStyle w:val="a3"/>
        <w:tabs>
          <w:tab w:val="left" w:pos="0"/>
        </w:tabs>
        <w:autoSpaceDE w:val="0"/>
        <w:autoSpaceDN w:val="0"/>
        <w:adjustRightInd w:val="0"/>
        <w:spacing w:after="160"/>
        <w:ind w:left="0" w:firstLine="567"/>
        <w:jc w:val="both"/>
      </w:pPr>
    </w:p>
    <w:p w:rsidR="00680B7C" w:rsidRPr="0010596A" w:rsidRDefault="00680B7C" w:rsidP="00F11350">
      <w:pPr>
        <w:tabs>
          <w:tab w:val="left" w:pos="0"/>
        </w:tabs>
        <w:ind w:firstLine="567"/>
        <w:jc w:val="center"/>
      </w:pPr>
    </w:p>
    <w:p w:rsidR="00EF3887" w:rsidRPr="00406561" w:rsidRDefault="00EF3887" w:rsidP="00F11350">
      <w:pPr>
        <w:tabs>
          <w:tab w:val="left" w:pos="0"/>
        </w:tabs>
        <w:ind w:firstLine="567"/>
        <w:jc w:val="center"/>
        <w:rPr>
          <w:iCs/>
        </w:rPr>
      </w:pPr>
    </w:p>
    <w:p w:rsidR="00EF3887" w:rsidRPr="00406561" w:rsidRDefault="000F2C56" w:rsidP="00F11350">
      <w:pPr>
        <w:tabs>
          <w:tab w:val="left" w:pos="0"/>
          <w:tab w:val="left" w:pos="10065"/>
        </w:tabs>
      </w:pPr>
      <w:r>
        <w:t>Н</w:t>
      </w:r>
      <w:r w:rsidR="005F3312">
        <w:t>ачальник</w:t>
      </w:r>
      <w:r w:rsidR="00680B7C">
        <w:t xml:space="preserve"> казначейства</w:t>
      </w:r>
      <w:r w:rsidR="00EF3887" w:rsidRPr="00406561">
        <w:t xml:space="preserve"> </w:t>
      </w:r>
      <w:r w:rsidR="005F3312">
        <w:t xml:space="preserve">       </w:t>
      </w:r>
      <w:r>
        <w:t xml:space="preserve"> ________________ Чередниченко Н.В. </w:t>
      </w:r>
      <w:r w:rsidR="00C07B7C">
        <w:t xml:space="preserve">   </w:t>
      </w:r>
      <w:r w:rsidR="00680B7C">
        <w:t xml:space="preserve">     </w:t>
      </w:r>
      <w:r w:rsidR="005F3312">
        <w:t>__</w:t>
      </w:r>
      <w:r w:rsidR="005D430A">
        <w:t>____</w:t>
      </w:r>
      <w:r w:rsidR="00680B7C">
        <w:t>201</w:t>
      </w:r>
      <w:r w:rsidR="00035E85">
        <w:t>7</w:t>
      </w:r>
    </w:p>
    <w:p w:rsidR="005F3312" w:rsidRDefault="005F3312" w:rsidP="00F11350">
      <w:pPr>
        <w:tabs>
          <w:tab w:val="left" w:pos="0"/>
        </w:tabs>
        <w:ind w:firstLine="567"/>
      </w:pPr>
    </w:p>
    <w:p w:rsidR="000F2C56" w:rsidRPr="00F056F4" w:rsidRDefault="000F2C56" w:rsidP="00F11350">
      <w:pPr>
        <w:tabs>
          <w:tab w:val="left" w:pos="0"/>
        </w:tabs>
        <w:ind w:firstLine="567"/>
      </w:pPr>
    </w:p>
    <w:p w:rsidR="005F3312" w:rsidRPr="005F3312" w:rsidRDefault="005F3312" w:rsidP="00F11350">
      <w:pPr>
        <w:tabs>
          <w:tab w:val="left" w:pos="0"/>
        </w:tabs>
        <w:ind w:firstLine="567"/>
      </w:pPr>
      <w:r>
        <w:t>И</w:t>
      </w:r>
      <w:r w:rsidR="00EF3887" w:rsidRPr="00406561">
        <w:t xml:space="preserve">нформация для контактов: </w:t>
      </w:r>
    </w:p>
    <w:p w:rsidR="000F2C56" w:rsidRDefault="000F2C56" w:rsidP="00F11350">
      <w:pPr>
        <w:tabs>
          <w:tab w:val="left" w:pos="0"/>
        </w:tabs>
        <w:ind w:firstLine="567"/>
      </w:pPr>
      <w:r>
        <w:t>Чередниченко Надежда Владимировна</w:t>
      </w:r>
    </w:p>
    <w:p w:rsidR="00EF3887" w:rsidRPr="00F056F4" w:rsidRDefault="000F2C56" w:rsidP="00F11350">
      <w:pPr>
        <w:tabs>
          <w:tab w:val="left" w:pos="0"/>
        </w:tabs>
        <w:ind w:firstLine="567"/>
      </w:pPr>
      <w:r w:rsidRPr="00F056F4">
        <w:t xml:space="preserve"> </w:t>
      </w:r>
      <w:r w:rsidR="00D66E5C" w:rsidRPr="00F056F4">
        <w:t>(38</w:t>
      </w:r>
      <w:r w:rsidR="005F3312" w:rsidRPr="00F056F4">
        <w:t>2</w:t>
      </w:r>
      <w:r w:rsidR="00D66E5C" w:rsidRPr="00F056F4">
        <w:t xml:space="preserve">2) </w:t>
      </w:r>
      <w:r w:rsidR="005F3312" w:rsidRPr="00F056F4">
        <w:t>48-4</w:t>
      </w:r>
      <w:r>
        <w:t>8</w:t>
      </w:r>
      <w:r w:rsidR="005F3312" w:rsidRPr="00F056F4">
        <w:t>-</w:t>
      </w:r>
      <w:r>
        <w:t>05</w:t>
      </w:r>
      <w:r w:rsidR="005F3312" w:rsidRPr="00F056F4">
        <w:t xml:space="preserve">, </w:t>
      </w:r>
      <w:r w:rsidR="005F3312">
        <w:rPr>
          <w:lang w:val="en-US"/>
        </w:rPr>
        <w:t>e</w:t>
      </w:r>
      <w:r w:rsidR="005F3312" w:rsidRPr="00F056F4">
        <w:t>-</w:t>
      </w:r>
      <w:r w:rsidR="005F3312">
        <w:rPr>
          <w:lang w:val="en-US"/>
        </w:rPr>
        <w:t>mail</w:t>
      </w:r>
      <w:r w:rsidR="005F3312" w:rsidRPr="00F056F4">
        <w:t xml:space="preserve">: </w:t>
      </w:r>
      <w:proofErr w:type="spellStart"/>
      <w:r>
        <w:rPr>
          <w:lang w:val="en-US"/>
        </w:rPr>
        <w:t>cherednichenko</w:t>
      </w:r>
      <w:proofErr w:type="spellEnd"/>
      <w:r w:rsidR="005F3312" w:rsidRPr="00F056F4">
        <w:t>@</w:t>
      </w:r>
      <w:proofErr w:type="spellStart"/>
      <w:r w:rsidR="005F3312">
        <w:rPr>
          <w:lang w:val="en-US"/>
        </w:rPr>
        <w:t>ensb</w:t>
      </w:r>
      <w:proofErr w:type="spellEnd"/>
      <w:r w:rsidR="005F3312" w:rsidRPr="00F056F4">
        <w:t>.</w:t>
      </w:r>
      <w:proofErr w:type="spellStart"/>
      <w:r w:rsidR="005F3312">
        <w:rPr>
          <w:lang w:val="en-US"/>
        </w:rPr>
        <w:t>tomsk</w:t>
      </w:r>
      <w:proofErr w:type="spellEnd"/>
      <w:r w:rsidR="005F3312" w:rsidRPr="00F056F4">
        <w:t>.</w:t>
      </w:r>
      <w:proofErr w:type="spellStart"/>
      <w:r w:rsidR="005F3312">
        <w:rPr>
          <w:lang w:val="en-US"/>
        </w:rPr>
        <w:t>ru</w:t>
      </w:r>
      <w:proofErr w:type="spellEnd"/>
      <w:r w:rsidR="00D66E5C" w:rsidRPr="00F056F4">
        <w:t xml:space="preserve"> </w:t>
      </w:r>
    </w:p>
    <w:sectPr w:rsidR="00EF3887" w:rsidRPr="00F056F4" w:rsidSect="00F11350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80442"/>
    <w:multiLevelType w:val="multilevel"/>
    <w:tmpl w:val="EF346302"/>
    <w:lvl w:ilvl="0">
      <w:start w:val="4"/>
      <w:numFmt w:val="decimal"/>
      <w:lvlText w:val="%1.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Arial Unicode MS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Arial Unicode MS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Arial Unicode MS" w:hint="default"/>
        <w:b w:val="0"/>
      </w:rPr>
    </w:lvl>
  </w:abstractNum>
  <w:abstractNum w:abstractNumId="1">
    <w:nsid w:val="586F5043"/>
    <w:multiLevelType w:val="multilevel"/>
    <w:tmpl w:val="EE62B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24" w:hanging="1800"/>
      </w:pPr>
      <w:rPr>
        <w:rFonts w:hint="default"/>
      </w:rPr>
    </w:lvl>
  </w:abstractNum>
  <w:abstractNum w:abstractNumId="2">
    <w:nsid w:val="65B820A3"/>
    <w:multiLevelType w:val="multilevel"/>
    <w:tmpl w:val="A906C4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87"/>
    <w:rsid w:val="00021295"/>
    <w:rsid w:val="00035E85"/>
    <w:rsid w:val="000420DA"/>
    <w:rsid w:val="000602A3"/>
    <w:rsid w:val="00066BEE"/>
    <w:rsid w:val="00085A71"/>
    <w:rsid w:val="0009748C"/>
    <w:rsid w:val="000B6F47"/>
    <w:rsid w:val="000C2650"/>
    <w:rsid w:val="000D2A79"/>
    <w:rsid w:val="000F2C56"/>
    <w:rsid w:val="0010596A"/>
    <w:rsid w:val="00105E4F"/>
    <w:rsid w:val="001257F8"/>
    <w:rsid w:val="00131F6D"/>
    <w:rsid w:val="00137C88"/>
    <w:rsid w:val="00147821"/>
    <w:rsid w:val="00151B6E"/>
    <w:rsid w:val="00151F84"/>
    <w:rsid w:val="00155A3A"/>
    <w:rsid w:val="001626E5"/>
    <w:rsid w:val="00181E7F"/>
    <w:rsid w:val="00185D49"/>
    <w:rsid w:val="0019604C"/>
    <w:rsid w:val="001A2DBE"/>
    <w:rsid w:val="001B11AB"/>
    <w:rsid w:val="001C4310"/>
    <w:rsid w:val="001E15B8"/>
    <w:rsid w:val="00221AAD"/>
    <w:rsid w:val="00221D7B"/>
    <w:rsid w:val="00231A67"/>
    <w:rsid w:val="00232219"/>
    <w:rsid w:val="00237366"/>
    <w:rsid w:val="00252D51"/>
    <w:rsid w:val="00254E3E"/>
    <w:rsid w:val="00277B65"/>
    <w:rsid w:val="00281548"/>
    <w:rsid w:val="0029250D"/>
    <w:rsid w:val="00297AB2"/>
    <w:rsid w:val="002C0DAD"/>
    <w:rsid w:val="002C4D75"/>
    <w:rsid w:val="002D3F18"/>
    <w:rsid w:val="002D47FC"/>
    <w:rsid w:val="002F1B97"/>
    <w:rsid w:val="00300BD7"/>
    <w:rsid w:val="00304C34"/>
    <w:rsid w:val="00337F3C"/>
    <w:rsid w:val="00344761"/>
    <w:rsid w:val="0035124A"/>
    <w:rsid w:val="0035156E"/>
    <w:rsid w:val="00351BF6"/>
    <w:rsid w:val="003532A1"/>
    <w:rsid w:val="00382849"/>
    <w:rsid w:val="003A05FB"/>
    <w:rsid w:val="003D206D"/>
    <w:rsid w:val="003E3C65"/>
    <w:rsid w:val="003F7D41"/>
    <w:rsid w:val="0040042C"/>
    <w:rsid w:val="00412AF9"/>
    <w:rsid w:val="00443A3F"/>
    <w:rsid w:val="00454B61"/>
    <w:rsid w:val="00460096"/>
    <w:rsid w:val="0046033A"/>
    <w:rsid w:val="00467C99"/>
    <w:rsid w:val="004974D5"/>
    <w:rsid w:val="00497DA3"/>
    <w:rsid w:val="004B326C"/>
    <w:rsid w:val="004D007A"/>
    <w:rsid w:val="004D4886"/>
    <w:rsid w:val="004D66F9"/>
    <w:rsid w:val="004E0F0F"/>
    <w:rsid w:val="00502571"/>
    <w:rsid w:val="00537058"/>
    <w:rsid w:val="00546DDE"/>
    <w:rsid w:val="00562EF0"/>
    <w:rsid w:val="005C68C8"/>
    <w:rsid w:val="005C6F7C"/>
    <w:rsid w:val="005D23DA"/>
    <w:rsid w:val="005D430A"/>
    <w:rsid w:val="005F19BF"/>
    <w:rsid w:val="005F3312"/>
    <w:rsid w:val="0062428C"/>
    <w:rsid w:val="006462D5"/>
    <w:rsid w:val="00655323"/>
    <w:rsid w:val="00660C55"/>
    <w:rsid w:val="006626B8"/>
    <w:rsid w:val="006738AD"/>
    <w:rsid w:val="00680B7C"/>
    <w:rsid w:val="006A2A1F"/>
    <w:rsid w:val="006B7982"/>
    <w:rsid w:val="006F388B"/>
    <w:rsid w:val="006F39D8"/>
    <w:rsid w:val="0070530E"/>
    <w:rsid w:val="007076E8"/>
    <w:rsid w:val="00710019"/>
    <w:rsid w:val="00723735"/>
    <w:rsid w:val="0073574D"/>
    <w:rsid w:val="00750445"/>
    <w:rsid w:val="007806E5"/>
    <w:rsid w:val="00780E60"/>
    <w:rsid w:val="00795424"/>
    <w:rsid w:val="007A535A"/>
    <w:rsid w:val="007B2595"/>
    <w:rsid w:val="007B4230"/>
    <w:rsid w:val="007C3EF4"/>
    <w:rsid w:val="007D334F"/>
    <w:rsid w:val="007F3BD5"/>
    <w:rsid w:val="007F4AB3"/>
    <w:rsid w:val="00804637"/>
    <w:rsid w:val="0081254B"/>
    <w:rsid w:val="00836A8F"/>
    <w:rsid w:val="008441F2"/>
    <w:rsid w:val="00875C71"/>
    <w:rsid w:val="00881D44"/>
    <w:rsid w:val="008C0A5E"/>
    <w:rsid w:val="008C7384"/>
    <w:rsid w:val="008D3D0E"/>
    <w:rsid w:val="008E55B2"/>
    <w:rsid w:val="008F08C5"/>
    <w:rsid w:val="0091363C"/>
    <w:rsid w:val="00914170"/>
    <w:rsid w:val="00921D2D"/>
    <w:rsid w:val="00967ED4"/>
    <w:rsid w:val="009A0E20"/>
    <w:rsid w:val="009A193B"/>
    <w:rsid w:val="009B57D3"/>
    <w:rsid w:val="009D34D5"/>
    <w:rsid w:val="009E5B1F"/>
    <w:rsid w:val="009F432F"/>
    <w:rsid w:val="00A11A49"/>
    <w:rsid w:val="00A13478"/>
    <w:rsid w:val="00A242EE"/>
    <w:rsid w:val="00A552EE"/>
    <w:rsid w:val="00A64F64"/>
    <w:rsid w:val="00A90344"/>
    <w:rsid w:val="00AA179A"/>
    <w:rsid w:val="00AB69B2"/>
    <w:rsid w:val="00AC4E20"/>
    <w:rsid w:val="00AD13E8"/>
    <w:rsid w:val="00AE6984"/>
    <w:rsid w:val="00AF357F"/>
    <w:rsid w:val="00B21D6E"/>
    <w:rsid w:val="00B311CB"/>
    <w:rsid w:val="00B50186"/>
    <w:rsid w:val="00B50B02"/>
    <w:rsid w:val="00B52BF2"/>
    <w:rsid w:val="00B54A37"/>
    <w:rsid w:val="00B760AA"/>
    <w:rsid w:val="00B9126F"/>
    <w:rsid w:val="00BB3C90"/>
    <w:rsid w:val="00BB7968"/>
    <w:rsid w:val="00BD0D09"/>
    <w:rsid w:val="00BD4F78"/>
    <w:rsid w:val="00BE5E86"/>
    <w:rsid w:val="00BF218B"/>
    <w:rsid w:val="00C07B7C"/>
    <w:rsid w:val="00C24361"/>
    <w:rsid w:val="00C477F6"/>
    <w:rsid w:val="00C50E20"/>
    <w:rsid w:val="00C57B29"/>
    <w:rsid w:val="00C71326"/>
    <w:rsid w:val="00CA407B"/>
    <w:rsid w:val="00CA7BFF"/>
    <w:rsid w:val="00CB17A3"/>
    <w:rsid w:val="00CB33A2"/>
    <w:rsid w:val="00CE35C9"/>
    <w:rsid w:val="00D03B66"/>
    <w:rsid w:val="00D17790"/>
    <w:rsid w:val="00D24D1D"/>
    <w:rsid w:val="00D61503"/>
    <w:rsid w:val="00D61C2D"/>
    <w:rsid w:val="00D66E5C"/>
    <w:rsid w:val="00D70958"/>
    <w:rsid w:val="00D73424"/>
    <w:rsid w:val="00D76BC2"/>
    <w:rsid w:val="00D86B46"/>
    <w:rsid w:val="00E13A0D"/>
    <w:rsid w:val="00E34518"/>
    <w:rsid w:val="00E75B89"/>
    <w:rsid w:val="00E774E3"/>
    <w:rsid w:val="00E871E0"/>
    <w:rsid w:val="00E972FC"/>
    <w:rsid w:val="00EA602F"/>
    <w:rsid w:val="00EB1A33"/>
    <w:rsid w:val="00EF111F"/>
    <w:rsid w:val="00EF3887"/>
    <w:rsid w:val="00F056F4"/>
    <w:rsid w:val="00F11350"/>
    <w:rsid w:val="00F3510A"/>
    <w:rsid w:val="00F4628E"/>
    <w:rsid w:val="00F6092E"/>
    <w:rsid w:val="00F75589"/>
    <w:rsid w:val="00F830B4"/>
    <w:rsid w:val="00F95325"/>
    <w:rsid w:val="00F96F7E"/>
    <w:rsid w:val="00FB09E8"/>
    <w:rsid w:val="00FB27DD"/>
    <w:rsid w:val="00FB4C51"/>
    <w:rsid w:val="00FB7238"/>
    <w:rsid w:val="00FC11AF"/>
    <w:rsid w:val="00FD2FC6"/>
    <w:rsid w:val="00FF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887"/>
    <w:pPr>
      <w:ind w:left="720"/>
      <w:contextualSpacing/>
    </w:pPr>
  </w:style>
  <w:style w:type="paragraph" w:customStyle="1" w:styleId="-">
    <w:name w:val="Заг - Прилож"/>
    <w:basedOn w:val="a"/>
    <w:qFormat/>
    <w:rsid w:val="00EF3887"/>
    <w:pPr>
      <w:keepNext/>
      <w:keepLines/>
      <w:tabs>
        <w:tab w:val="left" w:pos="851"/>
      </w:tabs>
      <w:spacing w:before="160" w:after="60"/>
      <w:jc w:val="right"/>
      <w:outlineLvl w:val="1"/>
    </w:pPr>
    <w:rPr>
      <w:rFonts w:eastAsiaTheme="majorEastAsia" w:cstheme="majorBidi"/>
      <w:b/>
      <w:szCs w:val="28"/>
    </w:rPr>
  </w:style>
  <w:style w:type="character" w:styleId="a4">
    <w:name w:val="annotation reference"/>
    <w:basedOn w:val="a0"/>
    <w:uiPriority w:val="99"/>
    <w:semiHidden/>
    <w:unhideWhenUsed/>
    <w:rsid w:val="00497DA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7DA3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7D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7DA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7D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7D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7D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rsid w:val="00D61C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b">
    <w:name w:val="Основной текст_"/>
    <w:basedOn w:val="a0"/>
    <w:link w:val="19"/>
    <w:rsid w:val="00D61C2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9"/>
    <w:basedOn w:val="a"/>
    <w:link w:val="ab"/>
    <w:rsid w:val="00D61C2D"/>
    <w:pPr>
      <w:shd w:val="clear" w:color="auto" w:fill="FFFFFF"/>
      <w:spacing w:line="269" w:lineRule="exact"/>
      <w:ind w:hanging="600"/>
      <w:jc w:val="both"/>
    </w:pPr>
    <w:rPr>
      <w:sz w:val="19"/>
      <w:szCs w:val="19"/>
      <w:lang w:eastAsia="en-US"/>
    </w:rPr>
  </w:style>
  <w:style w:type="character" w:customStyle="1" w:styleId="3">
    <w:name w:val="Основной текст3"/>
    <w:basedOn w:val="ab"/>
    <w:rsid w:val="00D61C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6">
    <w:name w:val="Основной текст16"/>
    <w:basedOn w:val="ab"/>
    <w:rsid w:val="00B501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styleId="ac">
    <w:name w:val="Revision"/>
    <w:hidden/>
    <w:uiPriority w:val="99"/>
    <w:semiHidden/>
    <w:rsid w:val="0022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887"/>
    <w:pPr>
      <w:ind w:left="720"/>
      <w:contextualSpacing/>
    </w:pPr>
  </w:style>
  <w:style w:type="paragraph" w:customStyle="1" w:styleId="-">
    <w:name w:val="Заг - Прилож"/>
    <w:basedOn w:val="a"/>
    <w:qFormat/>
    <w:rsid w:val="00EF3887"/>
    <w:pPr>
      <w:keepNext/>
      <w:keepLines/>
      <w:tabs>
        <w:tab w:val="left" w:pos="851"/>
      </w:tabs>
      <w:spacing w:before="160" w:after="60"/>
      <w:jc w:val="right"/>
      <w:outlineLvl w:val="1"/>
    </w:pPr>
    <w:rPr>
      <w:rFonts w:eastAsiaTheme="majorEastAsia" w:cstheme="majorBidi"/>
      <w:b/>
      <w:szCs w:val="28"/>
    </w:rPr>
  </w:style>
  <w:style w:type="character" w:styleId="a4">
    <w:name w:val="annotation reference"/>
    <w:basedOn w:val="a0"/>
    <w:uiPriority w:val="99"/>
    <w:semiHidden/>
    <w:unhideWhenUsed/>
    <w:rsid w:val="00497DA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7DA3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7D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7DA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7D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7D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7D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rsid w:val="00D61C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b">
    <w:name w:val="Основной текст_"/>
    <w:basedOn w:val="a0"/>
    <w:link w:val="19"/>
    <w:rsid w:val="00D61C2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9"/>
    <w:basedOn w:val="a"/>
    <w:link w:val="ab"/>
    <w:rsid w:val="00D61C2D"/>
    <w:pPr>
      <w:shd w:val="clear" w:color="auto" w:fill="FFFFFF"/>
      <w:spacing w:line="269" w:lineRule="exact"/>
      <w:ind w:hanging="600"/>
      <w:jc w:val="both"/>
    </w:pPr>
    <w:rPr>
      <w:sz w:val="19"/>
      <w:szCs w:val="19"/>
      <w:lang w:eastAsia="en-US"/>
    </w:rPr>
  </w:style>
  <w:style w:type="character" w:customStyle="1" w:styleId="3">
    <w:name w:val="Основной текст3"/>
    <w:basedOn w:val="ab"/>
    <w:rsid w:val="00D61C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6">
    <w:name w:val="Основной текст16"/>
    <w:basedOn w:val="ab"/>
    <w:rsid w:val="00B501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styleId="ac">
    <w:name w:val="Revision"/>
    <w:hidden/>
    <w:uiPriority w:val="99"/>
    <w:semiHidden/>
    <w:rsid w:val="0022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9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D0B4F7-2282-4FA7-BF8D-636C49A4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Валентина Николаевна</dc:creator>
  <cp:lastModifiedBy>Чередниченко Надежда Владимировна</cp:lastModifiedBy>
  <cp:revision>2</cp:revision>
  <cp:lastPrinted>2017-07-20T08:46:00Z</cp:lastPrinted>
  <dcterms:created xsi:type="dcterms:W3CDTF">2017-07-26T10:02:00Z</dcterms:created>
  <dcterms:modified xsi:type="dcterms:W3CDTF">2017-07-26T10:02:00Z</dcterms:modified>
</cp:coreProperties>
</file>